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D7336A"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266ADC" w:rsidRPr="00D7336A">
        <w:rPr>
          <w:rFonts w:ascii="Arial" w:hAnsi="Arial" w:cs="Arial"/>
          <w:color w:val="4BACC6" w:themeColor="accent5"/>
          <w:sz w:val="24"/>
          <w:szCs w:val="24"/>
        </w:rPr>
        <w:t xml:space="preserve">                                                                       </w:t>
      </w:r>
      <w:r w:rsidR="00C7664A" w:rsidRPr="00D7336A">
        <w:rPr>
          <w:rFonts w:ascii="Arial" w:hAnsi="Arial" w:cs="Arial"/>
          <w:color w:val="4BACC6" w:themeColor="accent5"/>
          <w:sz w:val="24"/>
          <w:szCs w:val="24"/>
        </w:rPr>
        <w:t xml:space="preserve">                        </w:t>
      </w:r>
      <w:r w:rsidR="00C0019F" w:rsidRPr="00D7336A">
        <w:rPr>
          <w:rFonts w:ascii="Arial" w:hAnsi="Arial" w:cs="Arial"/>
          <w:color w:val="4BACC6" w:themeColor="accent5"/>
          <w:sz w:val="24"/>
          <w:szCs w:val="24"/>
        </w:rPr>
        <w:t xml:space="preserve">               </w:t>
      </w:r>
      <w:r w:rsidR="00B84B92" w:rsidRPr="00D7336A">
        <w:rPr>
          <w:rFonts w:ascii="Arial" w:hAnsi="Arial" w:cs="Arial"/>
          <w:color w:val="4BACC6" w:themeColor="accent5"/>
          <w:sz w:val="24"/>
          <w:szCs w:val="24"/>
        </w:rPr>
        <w:t xml:space="preserve">   </w:t>
      </w:r>
      <w:r w:rsidR="000A4F5D" w:rsidRPr="00D7336A">
        <w:rPr>
          <w:rFonts w:ascii="Arial" w:hAnsi="Arial" w:cs="Arial"/>
          <w:color w:val="4BACC6" w:themeColor="accent5"/>
          <w:sz w:val="24"/>
          <w:szCs w:val="24"/>
        </w:rPr>
        <w:t xml:space="preserve">  </w:t>
      </w:r>
      <w:r w:rsidR="008D0A3C" w:rsidRPr="00D7336A">
        <w:rPr>
          <w:rFonts w:ascii="Arial" w:hAnsi="Arial" w:cs="Arial"/>
          <w:color w:val="4BACC6" w:themeColor="accent5"/>
          <w:sz w:val="24"/>
          <w:szCs w:val="24"/>
        </w:rPr>
        <w:t xml:space="preserve">    </w:t>
      </w:r>
      <w:r w:rsidR="006F5A3A" w:rsidRPr="00D7336A">
        <w:rPr>
          <w:rFonts w:ascii="Arial" w:hAnsi="Arial" w:cs="Arial"/>
          <w:color w:val="4BACC6" w:themeColor="accent5"/>
          <w:sz w:val="24"/>
          <w:szCs w:val="24"/>
        </w:rPr>
        <w:t xml:space="preserve">        </w:t>
      </w:r>
      <w:r w:rsidR="00F14988" w:rsidRPr="00D7336A">
        <w:rPr>
          <w:rFonts w:ascii="Arial" w:hAnsi="Arial" w:cs="Arial"/>
          <w:color w:val="4BACC6" w:themeColor="accent5"/>
          <w:sz w:val="24"/>
          <w:szCs w:val="24"/>
        </w:rPr>
        <w:t xml:space="preserve">     </w:t>
      </w:r>
      <w:r w:rsidR="00A04BCB" w:rsidRPr="00D7336A">
        <w:rPr>
          <w:rFonts w:ascii="Arial" w:hAnsi="Arial" w:cs="Arial"/>
          <w:color w:val="4BACC6" w:themeColor="accent5"/>
          <w:sz w:val="24"/>
          <w:szCs w:val="24"/>
        </w:rPr>
        <w:t xml:space="preserve">San Luis Potosí, </w:t>
      </w:r>
      <w:r w:rsidR="002D0070" w:rsidRPr="00D7336A">
        <w:rPr>
          <w:rFonts w:ascii="Arial" w:hAnsi="Arial" w:cs="Arial"/>
          <w:color w:val="4BACC6" w:themeColor="accent5"/>
          <w:sz w:val="24"/>
          <w:szCs w:val="24"/>
        </w:rPr>
        <w:t>S.L.P.</w:t>
      </w:r>
      <w:r w:rsidR="00A04BCB" w:rsidRPr="00D7336A">
        <w:rPr>
          <w:rFonts w:ascii="Arial" w:hAnsi="Arial" w:cs="Arial"/>
          <w:color w:val="4BACC6" w:themeColor="accent5"/>
          <w:sz w:val="24"/>
          <w:szCs w:val="24"/>
        </w:rPr>
        <w:t xml:space="preserve">, </w:t>
      </w:r>
      <w:r w:rsidR="00AC408C">
        <w:rPr>
          <w:rFonts w:ascii="Arial" w:hAnsi="Arial" w:cs="Arial"/>
          <w:color w:val="4BACC6" w:themeColor="accent5"/>
          <w:sz w:val="24"/>
          <w:szCs w:val="24"/>
        </w:rPr>
        <w:t>dieci</w:t>
      </w:r>
      <w:r w:rsidR="00C02820">
        <w:rPr>
          <w:rFonts w:ascii="Arial" w:hAnsi="Arial" w:cs="Arial"/>
          <w:color w:val="4BACC6" w:themeColor="accent5"/>
          <w:sz w:val="24"/>
          <w:szCs w:val="24"/>
        </w:rPr>
        <w:t>nueve</w:t>
      </w:r>
      <w:r w:rsidR="00AC408C">
        <w:rPr>
          <w:rFonts w:ascii="Arial" w:hAnsi="Arial" w:cs="Arial"/>
          <w:color w:val="4BACC6" w:themeColor="accent5"/>
          <w:sz w:val="24"/>
          <w:szCs w:val="24"/>
        </w:rPr>
        <w:t xml:space="preserve"> de julio </w:t>
      </w:r>
      <w:r w:rsidR="00322003">
        <w:rPr>
          <w:rFonts w:ascii="Arial" w:hAnsi="Arial" w:cs="Arial"/>
          <w:color w:val="4BACC6" w:themeColor="accent5"/>
          <w:sz w:val="24"/>
          <w:szCs w:val="24"/>
        </w:rPr>
        <w:t xml:space="preserve">de </w:t>
      </w:r>
      <w:r w:rsidR="00B4587C" w:rsidRPr="00D7336A">
        <w:rPr>
          <w:rFonts w:ascii="Arial" w:hAnsi="Arial" w:cs="Arial"/>
          <w:color w:val="4BACC6" w:themeColor="accent5"/>
          <w:sz w:val="24"/>
          <w:szCs w:val="24"/>
        </w:rPr>
        <w:t>dos mil dieci</w:t>
      </w:r>
      <w:r w:rsidR="00E44B4D">
        <w:rPr>
          <w:rFonts w:ascii="Arial" w:hAnsi="Arial" w:cs="Arial"/>
          <w:color w:val="4BACC6" w:themeColor="accent5"/>
          <w:sz w:val="24"/>
          <w:szCs w:val="24"/>
        </w:rPr>
        <w:t>ocho</w:t>
      </w:r>
      <w:r w:rsidR="00A04BCB" w:rsidRPr="00D7336A">
        <w:rPr>
          <w:rFonts w:ascii="Arial" w:hAnsi="Arial" w:cs="Arial"/>
          <w:color w:val="4BACC6" w:themeColor="accent5"/>
          <w:sz w:val="24"/>
          <w:szCs w:val="24"/>
        </w:rPr>
        <w:t>.</w:t>
      </w:r>
      <w:r w:rsidR="006F5A3A" w:rsidRPr="00D7336A">
        <w:rPr>
          <w:rFonts w:ascii="Arial" w:hAnsi="Arial" w:cs="Arial"/>
          <w:color w:val="4BACC6" w:themeColor="accent5"/>
          <w:sz w:val="24"/>
          <w:szCs w:val="24"/>
        </w:rPr>
        <w:t xml:space="preserve">    </w:t>
      </w:r>
    </w:p>
    <w:p w:rsidR="001C3373" w:rsidRPr="00D7336A" w:rsidRDefault="001C3373" w:rsidP="00791265">
      <w:pPr>
        <w:tabs>
          <w:tab w:val="left" w:pos="6840"/>
        </w:tabs>
        <w:spacing w:after="0" w:line="360" w:lineRule="auto"/>
        <w:outlineLvl w:val="5"/>
        <w:rPr>
          <w:rFonts w:ascii="Arial" w:hAnsi="Arial" w:cs="Arial"/>
          <w:color w:val="4BACC6" w:themeColor="accent5"/>
          <w:sz w:val="24"/>
          <w:szCs w:val="24"/>
        </w:rPr>
      </w:pPr>
    </w:p>
    <w:p w:rsidR="00791265" w:rsidRDefault="0038176B" w:rsidP="007378F8">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Visto el estado que guardan los presentes autos y de una revisión a las constancias que integran el expediente c</w:t>
      </w:r>
      <w:r w:rsidR="00774BC8" w:rsidRPr="00D7336A">
        <w:rPr>
          <w:rFonts w:ascii="Arial" w:hAnsi="Arial" w:cs="Arial"/>
          <w:color w:val="4BACC6" w:themeColor="accent5"/>
          <w:sz w:val="24"/>
          <w:szCs w:val="24"/>
        </w:rPr>
        <w:t>o</w:t>
      </w:r>
      <w:r w:rsidR="001A14C5" w:rsidRPr="00D7336A">
        <w:rPr>
          <w:rFonts w:ascii="Arial" w:hAnsi="Arial" w:cs="Arial"/>
          <w:color w:val="4BACC6" w:themeColor="accent5"/>
          <w:sz w:val="24"/>
          <w:szCs w:val="24"/>
        </w:rPr>
        <w:t>n fundamento en los artículos 8°, 10°, 27° primer párrafo, 184 y 185 de la Ley de Transparencia y Acceso a la Información Pública del Estado, es</w:t>
      </w:r>
      <w:r w:rsidRPr="00D7336A">
        <w:rPr>
          <w:rFonts w:ascii="Arial" w:hAnsi="Arial" w:cs="Arial"/>
          <w:color w:val="4BACC6" w:themeColor="accent5"/>
          <w:sz w:val="24"/>
          <w:szCs w:val="24"/>
        </w:rPr>
        <w:t xml:space="preserve">ta Comisión procede a analizar el presente sumario </w:t>
      </w:r>
      <w:r w:rsidR="001A14C5" w:rsidRPr="00D7336A">
        <w:rPr>
          <w:rFonts w:ascii="Arial" w:hAnsi="Arial" w:cs="Arial"/>
          <w:color w:val="4BACC6" w:themeColor="accent5"/>
          <w:sz w:val="24"/>
          <w:szCs w:val="24"/>
        </w:rPr>
        <w:t>a efecto de determinar el cumplimi</w:t>
      </w:r>
      <w:r w:rsidRPr="00D7336A">
        <w:rPr>
          <w:rFonts w:ascii="Arial" w:hAnsi="Arial" w:cs="Arial"/>
          <w:color w:val="4BACC6" w:themeColor="accent5"/>
          <w:sz w:val="24"/>
          <w:szCs w:val="24"/>
        </w:rPr>
        <w:t>ento o incumplimiento a la resolu</w:t>
      </w:r>
      <w:r w:rsidR="001A3205" w:rsidRPr="00D7336A">
        <w:rPr>
          <w:rFonts w:ascii="Arial" w:hAnsi="Arial" w:cs="Arial"/>
          <w:color w:val="4BACC6" w:themeColor="accent5"/>
          <w:sz w:val="24"/>
          <w:szCs w:val="24"/>
        </w:rPr>
        <w:t>ción dictada en el recurso de rev</w:t>
      </w:r>
      <w:r w:rsidR="00F35188" w:rsidRPr="00D7336A">
        <w:rPr>
          <w:rFonts w:ascii="Arial" w:hAnsi="Arial" w:cs="Arial"/>
          <w:color w:val="4BACC6" w:themeColor="accent5"/>
          <w:sz w:val="24"/>
          <w:szCs w:val="24"/>
        </w:rPr>
        <w:t xml:space="preserve">isión que se </w:t>
      </w:r>
      <w:r w:rsidR="002D371A" w:rsidRPr="00D7336A">
        <w:rPr>
          <w:rFonts w:ascii="Arial" w:hAnsi="Arial" w:cs="Arial"/>
          <w:color w:val="4BACC6" w:themeColor="accent5"/>
          <w:sz w:val="24"/>
          <w:szCs w:val="24"/>
        </w:rPr>
        <w:t>actúa.</w:t>
      </w:r>
    </w:p>
    <w:p w:rsidR="007378F8" w:rsidRDefault="007378F8" w:rsidP="007378F8">
      <w:pPr>
        <w:spacing w:after="0" w:line="360" w:lineRule="auto"/>
        <w:ind w:firstLine="708"/>
        <w:jc w:val="both"/>
        <w:rPr>
          <w:rFonts w:ascii="Arial" w:hAnsi="Arial" w:cs="Arial"/>
          <w:color w:val="4BACC6" w:themeColor="accent5"/>
          <w:sz w:val="24"/>
          <w:szCs w:val="24"/>
        </w:rPr>
      </w:pPr>
    </w:p>
    <w:p w:rsidR="002D371A" w:rsidRDefault="001A14C5" w:rsidP="00791265">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En p</w:t>
      </w:r>
      <w:r w:rsidR="002D371A" w:rsidRPr="00D7336A">
        <w:rPr>
          <w:rFonts w:ascii="Arial" w:hAnsi="Arial" w:cs="Arial"/>
          <w:color w:val="4BACC6" w:themeColor="accent5"/>
          <w:sz w:val="24"/>
          <w:szCs w:val="24"/>
        </w:rPr>
        <w:t>rimer lugar, es necesario insertar los efectos dictados en la resolución:</w:t>
      </w:r>
    </w:p>
    <w:p w:rsidR="00490BC0" w:rsidRDefault="00490BC0" w:rsidP="00490BC0">
      <w:pPr>
        <w:pStyle w:val="corte4fondo"/>
        <w:tabs>
          <w:tab w:val="left" w:pos="567"/>
        </w:tabs>
        <w:spacing w:line="240" w:lineRule="auto"/>
        <w:rPr>
          <w:rFonts w:cs="Arial"/>
          <w:i/>
          <w:color w:val="4BACC6" w:themeColor="accent5"/>
          <w:sz w:val="20"/>
        </w:rPr>
      </w:pPr>
    </w:p>
    <w:p w:rsidR="007A7319" w:rsidRPr="00BD19F4" w:rsidRDefault="00B76884" w:rsidP="00BD19F4">
      <w:pPr>
        <w:pStyle w:val="corte4fondo"/>
        <w:tabs>
          <w:tab w:val="left" w:pos="567"/>
        </w:tabs>
        <w:spacing w:line="240" w:lineRule="auto"/>
        <w:rPr>
          <w:rFonts w:cs="Arial"/>
          <w:i/>
          <w:color w:val="4BACC6" w:themeColor="accent5"/>
          <w:sz w:val="20"/>
        </w:rPr>
      </w:pPr>
      <w:r w:rsidRPr="00BD19F4">
        <w:rPr>
          <w:rFonts w:cs="Arial"/>
          <w:i/>
          <w:color w:val="4BACC6" w:themeColor="accent5"/>
          <w:sz w:val="20"/>
        </w:rPr>
        <w:t>“…</w:t>
      </w:r>
      <w:r w:rsidR="007A7319" w:rsidRPr="00BD19F4">
        <w:rPr>
          <w:rFonts w:cs="Arial"/>
          <w:b/>
          <w:i/>
          <w:color w:val="4BACC6" w:themeColor="accent5"/>
          <w:sz w:val="20"/>
        </w:rPr>
        <w:t>8</w:t>
      </w:r>
      <w:r w:rsidR="00FE0483" w:rsidRPr="00BD19F4">
        <w:rPr>
          <w:rFonts w:cs="Arial"/>
          <w:b/>
          <w:i/>
          <w:color w:val="4BACC6" w:themeColor="accent5"/>
          <w:sz w:val="20"/>
        </w:rPr>
        <w:t>.</w:t>
      </w:r>
      <w:r w:rsidR="007A7319" w:rsidRPr="00BD19F4">
        <w:rPr>
          <w:rFonts w:cs="Arial"/>
          <w:b/>
          <w:i/>
          <w:color w:val="4BACC6" w:themeColor="accent5"/>
          <w:sz w:val="20"/>
        </w:rPr>
        <w:t>5</w:t>
      </w:r>
      <w:r w:rsidRPr="00BD19F4">
        <w:rPr>
          <w:rFonts w:cs="Arial"/>
          <w:b/>
          <w:i/>
          <w:color w:val="4BACC6" w:themeColor="accent5"/>
          <w:sz w:val="20"/>
        </w:rPr>
        <w:t xml:space="preserve">. </w:t>
      </w:r>
      <w:r w:rsidR="007A7319" w:rsidRPr="00BD19F4">
        <w:rPr>
          <w:rFonts w:cs="Arial"/>
          <w:b/>
          <w:i/>
          <w:color w:val="4BACC6" w:themeColor="accent5"/>
          <w:sz w:val="20"/>
        </w:rPr>
        <w:t xml:space="preserve">Sentido y efectos de la </w:t>
      </w:r>
      <w:r w:rsidRPr="00BD19F4">
        <w:rPr>
          <w:rFonts w:cs="Arial"/>
          <w:b/>
          <w:i/>
          <w:color w:val="4BACC6" w:themeColor="accent5"/>
          <w:sz w:val="20"/>
        </w:rPr>
        <w:t>resolución.</w:t>
      </w:r>
      <w:r w:rsidRPr="00BD19F4">
        <w:rPr>
          <w:rFonts w:cs="Arial"/>
          <w:i/>
          <w:color w:val="4BACC6" w:themeColor="accent5"/>
          <w:sz w:val="20"/>
        </w:rPr>
        <w:t xml:space="preserve"> </w:t>
      </w:r>
      <w:r w:rsidR="00FE0483" w:rsidRPr="00BD19F4">
        <w:rPr>
          <w:rFonts w:cs="Arial"/>
          <w:i/>
          <w:color w:val="4BACC6" w:themeColor="accent5"/>
          <w:sz w:val="20"/>
        </w:rPr>
        <w:t xml:space="preserve">En las condiciones anotadas y, al haber resultado fundado el agravio que hizo valer la recurrente, lo procedente es que esta Comisión Estatal de Garantía de Acceso a la Información Pública de conformidad con el </w:t>
      </w:r>
      <w:r w:rsidRPr="00BD19F4">
        <w:rPr>
          <w:rFonts w:cs="Arial"/>
          <w:i/>
          <w:color w:val="4BACC6" w:themeColor="accent5"/>
          <w:sz w:val="20"/>
        </w:rPr>
        <w:t>artículo 1</w:t>
      </w:r>
      <w:r w:rsidR="007A7319" w:rsidRPr="00BD19F4">
        <w:rPr>
          <w:rFonts w:cs="Arial"/>
          <w:i/>
          <w:color w:val="4BACC6" w:themeColor="accent5"/>
          <w:sz w:val="20"/>
        </w:rPr>
        <w:t>64 de</w:t>
      </w:r>
      <w:r w:rsidRPr="00BD19F4">
        <w:rPr>
          <w:rFonts w:cs="Arial"/>
          <w:i/>
          <w:color w:val="4BACC6" w:themeColor="accent5"/>
          <w:sz w:val="20"/>
        </w:rPr>
        <w:t xml:space="preserve"> la Ley de Transparencia y Acceso a la Información Pública del Estado </w:t>
      </w:r>
      <w:r w:rsidR="007A7319" w:rsidRPr="00BD19F4">
        <w:rPr>
          <w:rFonts w:cs="Arial"/>
          <w:i/>
          <w:color w:val="4BACC6" w:themeColor="accent5"/>
          <w:sz w:val="20"/>
        </w:rPr>
        <w:t>aplica la afirmativa ficta y por lo tanto conmina al sujeto obligado para que entregue a la solicitante la información sobre:</w:t>
      </w:r>
    </w:p>
    <w:p w:rsidR="00B76884" w:rsidRPr="00BD19F4" w:rsidRDefault="00B76884" w:rsidP="00BD19F4">
      <w:pPr>
        <w:pStyle w:val="corte4fondo"/>
        <w:tabs>
          <w:tab w:val="left" w:pos="567"/>
        </w:tabs>
        <w:spacing w:line="240" w:lineRule="auto"/>
        <w:rPr>
          <w:rFonts w:cs="Arial"/>
          <w:b/>
          <w:i/>
          <w:color w:val="4BACC6" w:themeColor="accent5"/>
          <w:sz w:val="20"/>
        </w:rPr>
      </w:pPr>
    </w:p>
    <w:p w:rsidR="00AC408C" w:rsidRPr="00BD19F4" w:rsidRDefault="00AC408C" w:rsidP="00BD19F4">
      <w:pPr>
        <w:pStyle w:val="corte4fondo"/>
        <w:tabs>
          <w:tab w:val="left" w:pos="567"/>
        </w:tabs>
        <w:spacing w:line="240" w:lineRule="auto"/>
        <w:rPr>
          <w:rFonts w:cs="Arial"/>
          <w:i/>
          <w:color w:val="4BACC6" w:themeColor="accent5"/>
          <w:sz w:val="20"/>
        </w:rPr>
      </w:pPr>
      <w:r w:rsidRPr="00BD19F4">
        <w:rPr>
          <w:rFonts w:cs="Arial"/>
          <w:i/>
          <w:color w:val="4BACC6" w:themeColor="accent5"/>
          <w:sz w:val="20"/>
        </w:rPr>
        <w:t>Reuniones del Patronato de la Feria Nacional Potosina realizadas con el titular del Poder ejecutivo del Estado, Juna Manuel Carreas López, así como las fechas en las que los encuentros se efectuaron, el lugar y el orden de las sesiones, adenda o temas a tratar, desde el 27 de septiembre de 2015 al 15 de enero de 2018.</w:t>
      </w:r>
    </w:p>
    <w:p w:rsidR="00AC408C" w:rsidRPr="00BD19F4" w:rsidRDefault="00AC408C" w:rsidP="00BD19F4">
      <w:pPr>
        <w:pStyle w:val="corte4fondo"/>
        <w:tabs>
          <w:tab w:val="left" w:pos="567"/>
        </w:tabs>
        <w:spacing w:line="240" w:lineRule="auto"/>
        <w:rPr>
          <w:rFonts w:cs="Arial"/>
          <w:i/>
          <w:color w:val="4BACC6" w:themeColor="accent5"/>
          <w:sz w:val="20"/>
        </w:rPr>
      </w:pPr>
    </w:p>
    <w:p w:rsidR="00490BC0" w:rsidRPr="00BD19F4" w:rsidRDefault="00AC408C" w:rsidP="00BD19F4">
      <w:pPr>
        <w:pStyle w:val="corte4fondo"/>
        <w:tabs>
          <w:tab w:val="left" w:pos="567"/>
        </w:tabs>
        <w:spacing w:line="240" w:lineRule="auto"/>
        <w:rPr>
          <w:rFonts w:cs="Arial"/>
          <w:i/>
          <w:color w:val="4BACC6" w:themeColor="accent5"/>
          <w:sz w:val="20"/>
        </w:rPr>
      </w:pPr>
      <w:r w:rsidRPr="00BD19F4">
        <w:rPr>
          <w:rFonts w:cs="Arial"/>
          <w:i/>
          <w:color w:val="4BACC6" w:themeColor="accent5"/>
          <w:sz w:val="20"/>
        </w:rPr>
        <w:t>Cartas de renuncia o licencia de los integrantes del Patronato de la Feria Nacional Potosina que hayan sido presentadas del 1 de enero de 2017 al 15 de enero de 2018.” (sic)</w:t>
      </w:r>
    </w:p>
    <w:p w:rsidR="00AC408C" w:rsidRDefault="00AC408C" w:rsidP="00490BC0">
      <w:pPr>
        <w:spacing w:after="0" w:line="360" w:lineRule="auto"/>
        <w:ind w:firstLine="708"/>
        <w:jc w:val="both"/>
        <w:rPr>
          <w:rFonts w:ascii="Arial" w:hAnsi="Arial" w:cs="Arial"/>
          <w:color w:val="4BACC6" w:themeColor="accent5"/>
          <w:sz w:val="24"/>
          <w:szCs w:val="24"/>
        </w:rPr>
      </w:pPr>
    </w:p>
    <w:p w:rsidR="00490BC0" w:rsidRPr="00976F0C" w:rsidRDefault="00490BC0" w:rsidP="00490BC0">
      <w:pPr>
        <w:spacing w:after="0"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Por lo anterior, el sujeto obligado a través del</w:t>
      </w:r>
      <w:r w:rsidR="008C6657">
        <w:rPr>
          <w:rFonts w:ascii="Arial" w:hAnsi="Arial" w:cs="Arial"/>
          <w:color w:val="4BACC6" w:themeColor="accent5"/>
          <w:sz w:val="24"/>
          <w:szCs w:val="24"/>
        </w:rPr>
        <w:t xml:space="preserve"> </w:t>
      </w:r>
      <w:r>
        <w:rPr>
          <w:rFonts w:ascii="Arial" w:hAnsi="Arial" w:cs="Arial"/>
          <w:color w:val="4BACC6" w:themeColor="accent5"/>
          <w:sz w:val="24"/>
          <w:szCs w:val="24"/>
        </w:rPr>
        <w:t xml:space="preserve">oficio </w:t>
      </w:r>
      <w:r w:rsidR="00310587">
        <w:rPr>
          <w:rFonts w:ascii="Arial" w:hAnsi="Arial" w:cs="Arial"/>
          <w:color w:val="4BACC6" w:themeColor="accent5"/>
          <w:sz w:val="24"/>
          <w:szCs w:val="24"/>
        </w:rPr>
        <w:t>FENAPO-NUT/03</w:t>
      </w:r>
      <w:r w:rsidR="007D06C5">
        <w:rPr>
          <w:rFonts w:ascii="Arial" w:hAnsi="Arial" w:cs="Arial"/>
          <w:color w:val="4BACC6" w:themeColor="accent5"/>
          <w:sz w:val="24"/>
          <w:szCs w:val="24"/>
        </w:rPr>
        <w:t>5</w:t>
      </w:r>
      <w:r w:rsidR="00310587">
        <w:rPr>
          <w:rFonts w:ascii="Arial" w:hAnsi="Arial" w:cs="Arial"/>
          <w:color w:val="4BACC6" w:themeColor="accent5"/>
          <w:sz w:val="24"/>
          <w:szCs w:val="24"/>
        </w:rPr>
        <w:t>/201</w:t>
      </w:r>
      <w:r w:rsidR="007D06C5">
        <w:rPr>
          <w:rFonts w:ascii="Arial" w:hAnsi="Arial" w:cs="Arial"/>
          <w:color w:val="4BACC6" w:themeColor="accent5"/>
          <w:sz w:val="24"/>
          <w:szCs w:val="24"/>
        </w:rPr>
        <w:t>8</w:t>
      </w:r>
      <w:r w:rsidRPr="00976F0C">
        <w:rPr>
          <w:rFonts w:ascii="Arial" w:hAnsi="Arial" w:cs="Arial"/>
          <w:color w:val="4BACC6" w:themeColor="accent5"/>
          <w:sz w:val="24"/>
          <w:szCs w:val="24"/>
        </w:rPr>
        <w:t xml:space="preserve"> signado por </w:t>
      </w:r>
      <w:r w:rsidR="00310587">
        <w:rPr>
          <w:rFonts w:ascii="Arial" w:hAnsi="Arial" w:cs="Arial"/>
          <w:color w:val="4BACC6" w:themeColor="accent5"/>
          <w:sz w:val="24"/>
          <w:szCs w:val="24"/>
        </w:rPr>
        <w:t>el encargado del departamento de Normatividad y Unidad de Transparencia del Patronato para la Organización, Difusión y Administración de la FENAPO</w:t>
      </w:r>
      <w:r w:rsidRPr="00976F0C">
        <w:rPr>
          <w:rFonts w:ascii="Arial" w:hAnsi="Arial" w:cs="Arial"/>
          <w:color w:val="4BACC6" w:themeColor="accent5"/>
          <w:sz w:val="24"/>
          <w:szCs w:val="24"/>
        </w:rPr>
        <w:t xml:space="preserve">, </w:t>
      </w:r>
      <w:r w:rsidR="008C6657">
        <w:rPr>
          <w:rFonts w:ascii="Arial" w:hAnsi="Arial" w:cs="Arial"/>
          <w:color w:val="4BACC6" w:themeColor="accent5"/>
          <w:sz w:val="24"/>
          <w:szCs w:val="24"/>
        </w:rPr>
        <w:t xml:space="preserve">recibido en este órgano colegiado el </w:t>
      </w:r>
      <w:r w:rsidR="007D06C5">
        <w:rPr>
          <w:rFonts w:ascii="Arial" w:hAnsi="Arial" w:cs="Arial"/>
          <w:color w:val="4BACC6" w:themeColor="accent5"/>
          <w:sz w:val="24"/>
          <w:szCs w:val="24"/>
        </w:rPr>
        <w:t xml:space="preserve">dieciocho de mayo del </w:t>
      </w:r>
      <w:r w:rsidR="00FE0483">
        <w:rPr>
          <w:rFonts w:ascii="Arial" w:hAnsi="Arial" w:cs="Arial"/>
          <w:color w:val="4BACC6" w:themeColor="accent5"/>
          <w:sz w:val="24"/>
          <w:szCs w:val="24"/>
        </w:rPr>
        <w:t xml:space="preserve">año </w:t>
      </w:r>
      <w:r w:rsidR="007D06C5">
        <w:rPr>
          <w:rFonts w:ascii="Arial" w:hAnsi="Arial" w:cs="Arial"/>
          <w:color w:val="4BACC6" w:themeColor="accent5"/>
          <w:sz w:val="24"/>
          <w:szCs w:val="24"/>
        </w:rPr>
        <w:t xml:space="preserve">en curso, </w:t>
      </w:r>
      <w:r w:rsidRPr="00976F0C">
        <w:rPr>
          <w:rFonts w:ascii="Arial" w:hAnsi="Arial" w:cs="Arial"/>
          <w:color w:val="4BACC6" w:themeColor="accent5"/>
          <w:sz w:val="24"/>
          <w:szCs w:val="24"/>
        </w:rPr>
        <w:t xml:space="preserve">con </w:t>
      </w:r>
      <w:r w:rsidR="007D06C5">
        <w:rPr>
          <w:rFonts w:ascii="Arial" w:hAnsi="Arial" w:cs="Arial"/>
          <w:color w:val="4BACC6" w:themeColor="accent5"/>
          <w:sz w:val="24"/>
          <w:szCs w:val="24"/>
        </w:rPr>
        <w:t>cuatro</w:t>
      </w:r>
      <w:r>
        <w:rPr>
          <w:rFonts w:ascii="Arial" w:hAnsi="Arial" w:cs="Arial"/>
          <w:color w:val="4BACC6" w:themeColor="accent5"/>
          <w:sz w:val="24"/>
          <w:szCs w:val="24"/>
        </w:rPr>
        <w:t xml:space="preserve"> </w:t>
      </w:r>
      <w:r w:rsidRPr="00976F0C">
        <w:rPr>
          <w:rFonts w:ascii="Arial" w:hAnsi="Arial" w:cs="Arial"/>
          <w:color w:val="4BACC6" w:themeColor="accent5"/>
          <w:sz w:val="24"/>
          <w:szCs w:val="24"/>
        </w:rPr>
        <w:t>anexo</w:t>
      </w:r>
      <w:r>
        <w:rPr>
          <w:rFonts w:ascii="Arial" w:hAnsi="Arial" w:cs="Arial"/>
          <w:color w:val="4BACC6" w:themeColor="accent5"/>
          <w:sz w:val="24"/>
          <w:szCs w:val="24"/>
        </w:rPr>
        <w:t>s</w:t>
      </w:r>
      <w:r w:rsidRPr="00976F0C">
        <w:rPr>
          <w:rFonts w:ascii="Arial" w:hAnsi="Arial" w:cs="Arial"/>
          <w:color w:val="4BACC6" w:themeColor="accent5"/>
          <w:sz w:val="24"/>
          <w:szCs w:val="24"/>
        </w:rPr>
        <w:t>, donde informa sobre el cumplimiento al resolutivo en análisis y señala medularmente lo siguiente:</w:t>
      </w:r>
    </w:p>
    <w:p w:rsidR="00490BC0" w:rsidRPr="00976F0C" w:rsidRDefault="00490BC0" w:rsidP="00490BC0">
      <w:pPr>
        <w:spacing w:after="0" w:line="240" w:lineRule="auto"/>
        <w:jc w:val="both"/>
        <w:rPr>
          <w:rFonts w:ascii="Arial" w:hAnsi="Arial" w:cs="Arial"/>
          <w:color w:val="4BACC6" w:themeColor="accent5"/>
          <w:sz w:val="24"/>
          <w:szCs w:val="24"/>
        </w:rPr>
      </w:pPr>
    </w:p>
    <w:p w:rsidR="00490BC0" w:rsidRPr="00BD19F4" w:rsidRDefault="00490BC0" w:rsidP="007378F8">
      <w:pPr>
        <w:spacing w:after="0"/>
        <w:ind w:firstLine="708"/>
        <w:jc w:val="both"/>
        <w:rPr>
          <w:rFonts w:ascii="Arial" w:hAnsi="Arial" w:cs="Arial"/>
          <w:i/>
          <w:color w:val="4BACC6" w:themeColor="accent5"/>
          <w:sz w:val="20"/>
          <w:szCs w:val="20"/>
        </w:rPr>
      </w:pPr>
      <w:r w:rsidRPr="00FA0290">
        <w:rPr>
          <w:rFonts w:ascii="Arial" w:hAnsi="Arial" w:cs="Arial"/>
          <w:i/>
          <w:color w:val="4BACC6" w:themeColor="accent5"/>
        </w:rPr>
        <w:t xml:space="preserve"> </w:t>
      </w:r>
      <w:r w:rsidRPr="00BD19F4">
        <w:rPr>
          <w:rFonts w:ascii="Arial" w:hAnsi="Arial" w:cs="Arial"/>
          <w:i/>
          <w:color w:val="4BACC6" w:themeColor="accent5"/>
          <w:sz w:val="20"/>
          <w:szCs w:val="20"/>
        </w:rPr>
        <w:t xml:space="preserve">[…] </w:t>
      </w:r>
      <w:r w:rsidR="00831F05" w:rsidRPr="00BD19F4">
        <w:rPr>
          <w:rFonts w:ascii="Arial" w:hAnsi="Arial" w:cs="Arial"/>
          <w:i/>
          <w:color w:val="4BACC6" w:themeColor="accent5"/>
          <w:sz w:val="20"/>
          <w:szCs w:val="20"/>
        </w:rPr>
        <w:t>En seguimiento a la resolución que integra el recurso de revisión 112/2018-1</w:t>
      </w:r>
      <w:r w:rsidR="00E07D48" w:rsidRPr="00BD19F4">
        <w:rPr>
          <w:rFonts w:ascii="Arial" w:hAnsi="Arial" w:cs="Arial"/>
          <w:i/>
          <w:color w:val="4BACC6" w:themeColor="accent5"/>
          <w:sz w:val="20"/>
          <w:szCs w:val="20"/>
        </w:rPr>
        <w:t xml:space="preserve"> Plataforma, se informa sobre el cumplimiento de la entrega de la información derivada de la solicitud de acceso a la información con folio N°00045118 de fecha 30 de enero del 2018 a través del Sistema Infomex, esto de conformidad con el artículo 177 segundo  párrafo que especifica, el ente obligado deberá de informar a la Cegaip el cumplimiento de sus resoluciones en un plazo no mayor a tres días; con lo anterior adjunto a la presente lo siguiente</w:t>
      </w:r>
      <w:r w:rsidR="001927CA" w:rsidRPr="00BD19F4">
        <w:rPr>
          <w:rFonts w:ascii="Arial" w:hAnsi="Arial" w:cs="Arial"/>
          <w:i/>
          <w:color w:val="4BACC6" w:themeColor="accent5"/>
          <w:sz w:val="20"/>
          <w:szCs w:val="20"/>
        </w:rPr>
        <w:t>:</w:t>
      </w:r>
      <w:r w:rsidR="00C95821" w:rsidRPr="00BD19F4">
        <w:rPr>
          <w:rFonts w:ascii="Arial" w:hAnsi="Arial" w:cs="Arial"/>
          <w:i/>
          <w:color w:val="4BACC6" w:themeColor="accent5"/>
          <w:sz w:val="20"/>
          <w:szCs w:val="20"/>
        </w:rPr>
        <w:t xml:space="preserve"> </w:t>
      </w:r>
      <w:r w:rsidRPr="00BD19F4">
        <w:rPr>
          <w:rFonts w:ascii="Arial" w:hAnsi="Arial" w:cs="Arial"/>
          <w:i/>
          <w:color w:val="4BACC6" w:themeColor="accent5"/>
          <w:sz w:val="20"/>
          <w:szCs w:val="20"/>
        </w:rPr>
        <w:t xml:space="preserve">[…]  </w:t>
      </w:r>
    </w:p>
    <w:p w:rsidR="00490BC0" w:rsidRPr="00976F0C" w:rsidRDefault="00490BC0" w:rsidP="00490BC0">
      <w:pPr>
        <w:spacing w:after="0" w:line="360" w:lineRule="auto"/>
        <w:jc w:val="both"/>
        <w:rPr>
          <w:rFonts w:ascii="Arial" w:hAnsi="Arial" w:cs="Arial"/>
          <w:color w:val="4BACC6" w:themeColor="accent5"/>
          <w:sz w:val="24"/>
          <w:szCs w:val="24"/>
        </w:rPr>
      </w:pPr>
    </w:p>
    <w:p w:rsidR="00490BC0" w:rsidRPr="00976F0C" w:rsidRDefault="00490BC0" w:rsidP="00490BC0">
      <w:pPr>
        <w:pStyle w:val="corte4fondo"/>
        <w:tabs>
          <w:tab w:val="left" w:pos="567"/>
        </w:tabs>
        <w:rPr>
          <w:rFonts w:cs="Arial"/>
          <w:color w:val="4BACC6" w:themeColor="accent5"/>
          <w:sz w:val="24"/>
          <w:szCs w:val="24"/>
        </w:rPr>
      </w:pPr>
      <w:r w:rsidRPr="00976F0C">
        <w:rPr>
          <w:rFonts w:cs="Arial"/>
          <w:color w:val="4BACC6" w:themeColor="accent5"/>
          <w:sz w:val="24"/>
          <w:szCs w:val="24"/>
        </w:rPr>
        <w:t xml:space="preserve">En ese sentido, visibles a fojas </w:t>
      </w:r>
      <w:r w:rsidR="00E07D48">
        <w:rPr>
          <w:rFonts w:cs="Arial"/>
          <w:color w:val="4BACC6" w:themeColor="accent5"/>
          <w:sz w:val="24"/>
          <w:szCs w:val="24"/>
        </w:rPr>
        <w:t>34</w:t>
      </w:r>
      <w:r w:rsidR="00B23C59" w:rsidRPr="00C95821">
        <w:rPr>
          <w:rFonts w:cs="Arial"/>
          <w:color w:val="4BACC6" w:themeColor="accent5"/>
          <w:sz w:val="24"/>
          <w:szCs w:val="24"/>
        </w:rPr>
        <w:t xml:space="preserve"> a </w:t>
      </w:r>
      <w:r w:rsidR="00C95821" w:rsidRPr="00C95821">
        <w:rPr>
          <w:rFonts w:cs="Arial"/>
          <w:color w:val="4BACC6" w:themeColor="accent5"/>
          <w:sz w:val="24"/>
          <w:szCs w:val="24"/>
        </w:rPr>
        <w:t>6</w:t>
      </w:r>
      <w:r w:rsidR="00E07D48">
        <w:rPr>
          <w:rFonts w:cs="Arial"/>
          <w:color w:val="4BACC6" w:themeColor="accent5"/>
          <w:sz w:val="24"/>
          <w:szCs w:val="24"/>
        </w:rPr>
        <w:t>3</w:t>
      </w:r>
      <w:r w:rsidR="001D0AE1" w:rsidRPr="00B76884">
        <w:rPr>
          <w:rFonts w:cs="Arial"/>
          <w:color w:val="FF0000"/>
          <w:sz w:val="24"/>
          <w:szCs w:val="24"/>
        </w:rPr>
        <w:t xml:space="preserve"> </w:t>
      </w:r>
      <w:r w:rsidR="001D0AE1">
        <w:rPr>
          <w:rFonts w:cs="Arial"/>
          <w:color w:val="4BACC6" w:themeColor="accent5"/>
          <w:sz w:val="24"/>
          <w:szCs w:val="24"/>
        </w:rPr>
        <w:t>de autos</w:t>
      </w:r>
      <w:r w:rsidRPr="00976F0C">
        <w:rPr>
          <w:rFonts w:cs="Arial"/>
          <w:color w:val="4BACC6" w:themeColor="accent5"/>
          <w:sz w:val="24"/>
          <w:szCs w:val="24"/>
        </w:rPr>
        <w:t>, se encuentra</w:t>
      </w:r>
      <w:r w:rsidR="001D0AE1">
        <w:rPr>
          <w:rFonts w:cs="Arial"/>
          <w:color w:val="4BACC6" w:themeColor="accent5"/>
          <w:sz w:val="24"/>
          <w:szCs w:val="24"/>
        </w:rPr>
        <w:t>n</w:t>
      </w:r>
      <w:r w:rsidRPr="00976F0C">
        <w:rPr>
          <w:rFonts w:cs="Arial"/>
          <w:color w:val="4BACC6" w:themeColor="accent5"/>
          <w:sz w:val="24"/>
          <w:szCs w:val="24"/>
        </w:rPr>
        <w:t xml:space="preserve"> únicamente la información que fuera enviada al recurrente, mismos que por economía procesal, se tienen por reproducidos como si a la letra se insertasen.</w:t>
      </w:r>
    </w:p>
    <w:p w:rsidR="006A4610" w:rsidRPr="00467AA8" w:rsidRDefault="00467AA8" w:rsidP="00352A7B">
      <w:pPr>
        <w:spacing w:after="0" w:line="360" w:lineRule="auto"/>
        <w:jc w:val="both"/>
        <w:rPr>
          <w:rFonts w:ascii="Arial" w:hAnsi="Arial" w:cs="Arial"/>
          <w:color w:val="4BACC6" w:themeColor="accent5"/>
          <w:sz w:val="24"/>
          <w:szCs w:val="24"/>
        </w:rPr>
      </w:pPr>
      <w:r w:rsidRPr="00467AA8">
        <w:rPr>
          <w:rFonts w:ascii="Arial" w:hAnsi="Arial" w:cs="Arial"/>
          <w:color w:val="4BACC6" w:themeColor="accent5"/>
          <w:sz w:val="24"/>
          <w:szCs w:val="24"/>
        </w:rPr>
        <w:t>.</w:t>
      </w:r>
    </w:p>
    <w:p w:rsidR="001E317B" w:rsidRDefault="00D21862" w:rsidP="00C95821">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lastRenderedPageBreak/>
        <w:t>Así las cosas,</w:t>
      </w:r>
      <w:r w:rsidR="00D11CA5">
        <w:rPr>
          <w:rFonts w:ascii="Arial" w:hAnsi="Arial" w:cs="Arial"/>
          <w:color w:val="4BACC6" w:themeColor="accent5"/>
          <w:sz w:val="24"/>
          <w:szCs w:val="24"/>
        </w:rPr>
        <w:t xml:space="preserve"> el sujeto obligado también </w:t>
      </w:r>
      <w:r w:rsidR="00FE5A4C" w:rsidRPr="00D7336A">
        <w:rPr>
          <w:rFonts w:ascii="Arial" w:hAnsi="Arial" w:cs="Arial"/>
          <w:color w:val="4BACC6" w:themeColor="accent5"/>
          <w:sz w:val="24"/>
          <w:szCs w:val="24"/>
        </w:rPr>
        <w:t>o</w:t>
      </w:r>
      <w:r w:rsidR="000B7F7D" w:rsidRPr="00D7336A">
        <w:rPr>
          <w:rFonts w:ascii="Arial" w:hAnsi="Arial" w:cs="Arial"/>
          <w:color w:val="4BACC6" w:themeColor="accent5"/>
          <w:sz w:val="24"/>
          <w:szCs w:val="24"/>
        </w:rPr>
        <w:t xml:space="preserve">bra la constancia </w:t>
      </w:r>
      <w:r w:rsidR="00FE5A4C" w:rsidRPr="00D7336A">
        <w:rPr>
          <w:rFonts w:ascii="Arial" w:hAnsi="Arial" w:cs="Arial"/>
          <w:color w:val="4BACC6" w:themeColor="accent5"/>
          <w:sz w:val="24"/>
          <w:szCs w:val="24"/>
        </w:rPr>
        <w:t>que acredita que el sujeto obligado</w:t>
      </w:r>
      <w:r w:rsidR="000B7F7D" w:rsidRPr="00D7336A">
        <w:rPr>
          <w:rFonts w:ascii="Arial" w:hAnsi="Arial" w:cs="Arial"/>
          <w:color w:val="4BACC6" w:themeColor="accent5"/>
          <w:sz w:val="24"/>
          <w:szCs w:val="24"/>
        </w:rPr>
        <w:t xml:space="preserve"> envió al recurrente por </w:t>
      </w:r>
      <w:r w:rsidR="00FE5A4C" w:rsidRPr="00D7336A">
        <w:rPr>
          <w:rFonts w:ascii="Arial" w:hAnsi="Arial" w:cs="Arial"/>
          <w:color w:val="4BACC6" w:themeColor="accent5"/>
          <w:sz w:val="24"/>
          <w:szCs w:val="24"/>
        </w:rPr>
        <w:t>correo electrónico</w:t>
      </w:r>
      <w:r w:rsidR="000B7F7D" w:rsidRPr="00D7336A">
        <w:rPr>
          <w:rFonts w:ascii="Arial" w:hAnsi="Arial" w:cs="Arial"/>
          <w:color w:val="4BACC6" w:themeColor="accent5"/>
          <w:sz w:val="24"/>
          <w:szCs w:val="24"/>
        </w:rPr>
        <w:t xml:space="preserve"> en formato electrónico </w:t>
      </w:r>
      <w:r w:rsidR="00FE5A4C" w:rsidRPr="00D7336A">
        <w:rPr>
          <w:rFonts w:ascii="Arial" w:hAnsi="Arial" w:cs="Arial"/>
          <w:color w:val="4BACC6" w:themeColor="accent5"/>
          <w:sz w:val="24"/>
          <w:szCs w:val="24"/>
        </w:rPr>
        <w:t>la información que aquí se ha estudiado</w:t>
      </w:r>
      <w:r w:rsidR="000B7F7D" w:rsidRPr="00D7336A">
        <w:rPr>
          <w:rFonts w:ascii="Arial" w:hAnsi="Arial" w:cs="Arial"/>
          <w:color w:val="4BACC6" w:themeColor="accent5"/>
          <w:sz w:val="24"/>
          <w:szCs w:val="24"/>
        </w:rPr>
        <w:t>, toda vez</w:t>
      </w:r>
      <w:r w:rsidR="00FE5A4C" w:rsidRPr="00D7336A">
        <w:rPr>
          <w:rFonts w:ascii="Arial" w:hAnsi="Arial" w:cs="Arial"/>
          <w:color w:val="4BACC6" w:themeColor="accent5"/>
          <w:sz w:val="24"/>
          <w:szCs w:val="24"/>
        </w:rPr>
        <w:t xml:space="preserve"> que del contenido</w:t>
      </w:r>
      <w:r w:rsidR="00BD19F4">
        <w:rPr>
          <w:rFonts w:ascii="Arial" w:hAnsi="Arial" w:cs="Arial"/>
          <w:color w:val="4BACC6" w:themeColor="accent5"/>
          <w:sz w:val="24"/>
          <w:szCs w:val="24"/>
        </w:rPr>
        <w:t xml:space="preserve"> de la </w:t>
      </w:r>
      <w:r w:rsidR="00FE5A4C" w:rsidRPr="00D7336A">
        <w:rPr>
          <w:rFonts w:ascii="Arial" w:hAnsi="Arial" w:cs="Arial"/>
          <w:color w:val="4BACC6" w:themeColor="accent5"/>
          <w:sz w:val="24"/>
          <w:szCs w:val="24"/>
        </w:rPr>
        <w:t>referida constancia se advierte que la dirección electrónica corresponde con la que señalo el recurrente par</w:t>
      </w:r>
      <w:r w:rsidR="000B7F7D" w:rsidRPr="00D7336A">
        <w:rPr>
          <w:rFonts w:ascii="Arial" w:hAnsi="Arial" w:cs="Arial"/>
          <w:color w:val="4BACC6" w:themeColor="accent5"/>
          <w:sz w:val="24"/>
          <w:szCs w:val="24"/>
        </w:rPr>
        <w:t xml:space="preserve">a oír y recibir notificaciones. </w:t>
      </w:r>
    </w:p>
    <w:p w:rsidR="001927CA" w:rsidRPr="00D7336A" w:rsidRDefault="001927CA" w:rsidP="00C95821">
      <w:pPr>
        <w:spacing w:after="0" w:line="360" w:lineRule="auto"/>
        <w:ind w:firstLine="708"/>
        <w:jc w:val="both"/>
        <w:rPr>
          <w:rFonts w:ascii="Arial" w:hAnsi="Arial" w:cs="Arial"/>
          <w:color w:val="4BACC6" w:themeColor="accent5"/>
          <w:sz w:val="24"/>
          <w:szCs w:val="24"/>
        </w:rPr>
      </w:pPr>
    </w:p>
    <w:p w:rsidR="00B23C59" w:rsidRDefault="000B7F7D" w:rsidP="00BD19F4">
      <w:pPr>
        <w:pStyle w:val="corte4fondo"/>
        <w:tabs>
          <w:tab w:val="left" w:pos="567"/>
        </w:tabs>
        <w:rPr>
          <w:rFonts w:cs="Arial"/>
          <w:color w:val="4BACC6" w:themeColor="accent5"/>
          <w:sz w:val="24"/>
          <w:szCs w:val="24"/>
        </w:rPr>
      </w:pPr>
      <w:r w:rsidRPr="00D7336A">
        <w:rPr>
          <w:rFonts w:cs="Arial"/>
          <w:color w:val="4BACC6" w:themeColor="accent5"/>
          <w:sz w:val="24"/>
          <w:szCs w:val="24"/>
        </w:rPr>
        <w:t>D</w:t>
      </w:r>
      <w:r w:rsidR="00184E79" w:rsidRPr="00D7336A">
        <w:rPr>
          <w:rFonts w:cs="Arial"/>
          <w:color w:val="4BACC6" w:themeColor="accent5"/>
          <w:sz w:val="24"/>
          <w:szCs w:val="24"/>
        </w:rPr>
        <w:t xml:space="preserve">e tal suerte, </w:t>
      </w:r>
      <w:r w:rsidR="00D21862" w:rsidRPr="00D7336A">
        <w:rPr>
          <w:rFonts w:cs="Arial"/>
          <w:color w:val="4BACC6" w:themeColor="accent5"/>
          <w:sz w:val="24"/>
          <w:szCs w:val="24"/>
        </w:rPr>
        <w:t>se</w:t>
      </w:r>
      <w:r w:rsidR="001E317B" w:rsidRPr="00D7336A">
        <w:rPr>
          <w:rFonts w:cs="Arial"/>
          <w:color w:val="4BACC6" w:themeColor="accent5"/>
          <w:sz w:val="24"/>
          <w:szCs w:val="24"/>
        </w:rPr>
        <w:t xml:space="preserve"> tiene que las documentales remitidas por el sujeto obligado, son suficientes para colmar los extremos fijados en la resolución de mérito</w:t>
      </w:r>
      <w:r w:rsidR="00D21862" w:rsidRPr="00D7336A">
        <w:rPr>
          <w:rFonts w:cs="Arial"/>
          <w:color w:val="4BACC6" w:themeColor="accent5"/>
          <w:sz w:val="24"/>
          <w:szCs w:val="24"/>
        </w:rPr>
        <w:t xml:space="preserve"> </w:t>
      </w:r>
      <w:r w:rsidR="001E317B" w:rsidRPr="00D7336A">
        <w:rPr>
          <w:rFonts w:cs="Arial"/>
          <w:color w:val="4BACC6" w:themeColor="accent5"/>
          <w:sz w:val="24"/>
          <w:szCs w:val="24"/>
        </w:rPr>
        <w:t xml:space="preserve">y </w:t>
      </w:r>
      <w:r w:rsidR="00695310" w:rsidRPr="00D7336A">
        <w:rPr>
          <w:rFonts w:cs="Arial"/>
          <w:color w:val="4BACC6" w:themeColor="accent5"/>
          <w:sz w:val="24"/>
          <w:szCs w:val="24"/>
        </w:rPr>
        <w:t>p</w:t>
      </w:r>
      <w:r w:rsidR="00426890">
        <w:rPr>
          <w:rFonts w:cs="Arial"/>
          <w:color w:val="4BACC6" w:themeColor="accent5"/>
          <w:sz w:val="24"/>
          <w:szCs w:val="24"/>
        </w:rPr>
        <w:t xml:space="preserve">or tanto se encuentra cumplida, toda vez que la información proporcionada por el sujeto obligado da cuenta </w:t>
      </w:r>
      <w:r w:rsidR="00493BBB">
        <w:rPr>
          <w:rFonts w:cs="Arial"/>
          <w:color w:val="4BACC6" w:themeColor="accent5"/>
          <w:sz w:val="24"/>
          <w:szCs w:val="24"/>
        </w:rPr>
        <w:t>co</w:t>
      </w:r>
      <w:r w:rsidR="00493BBB" w:rsidRPr="00156C9D">
        <w:rPr>
          <w:rFonts w:cs="Arial"/>
          <w:color w:val="4BACC6" w:themeColor="accent5"/>
          <w:sz w:val="24"/>
          <w:szCs w:val="24"/>
        </w:rPr>
        <w:t xml:space="preserve">n </w:t>
      </w:r>
      <w:r w:rsidR="00BD19F4" w:rsidRPr="00D7336A">
        <w:rPr>
          <w:rFonts w:cs="Arial"/>
          <w:color w:val="4BACC6" w:themeColor="accent5"/>
          <w:sz w:val="24"/>
          <w:szCs w:val="24"/>
        </w:rPr>
        <w:t>l</w:t>
      </w:r>
      <w:r w:rsidR="00BD19F4">
        <w:rPr>
          <w:rFonts w:cs="Arial"/>
          <w:color w:val="4BACC6" w:themeColor="accent5"/>
          <w:sz w:val="24"/>
          <w:szCs w:val="24"/>
        </w:rPr>
        <w:t>os documentos de los cuales se advierte una reunión del patronato de la FENAPO con el gobernador Juan Manuel Carreras López y nuevos nombramientos del Patronato.</w:t>
      </w:r>
    </w:p>
    <w:p w:rsidR="00150C53" w:rsidRDefault="00150C53" w:rsidP="00BD19F4">
      <w:pPr>
        <w:pStyle w:val="corte4fondo"/>
        <w:tabs>
          <w:tab w:val="left" w:pos="567"/>
        </w:tabs>
        <w:rPr>
          <w:rFonts w:cs="Arial"/>
          <w:color w:val="4BACC6" w:themeColor="accent5"/>
          <w:sz w:val="24"/>
          <w:szCs w:val="24"/>
        </w:rPr>
      </w:pPr>
    </w:p>
    <w:p w:rsidR="00150C53" w:rsidRDefault="00150C53" w:rsidP="00150C53">
      <w:pPr>
        <w:pStyle w:val="corte4fondo"/>
        <w:tabs>
          <w:tab w:val="left" w:pos="567"/>
        </w:tabs>
        <w:rPr>
          <w:rFonts w:cs="Arial"/>
          <w:color w:val="4BACC6" w:themeColor="accent5"/>
          <w:sz w:val="24"/>
          <w:szCs w:val="24"/>
        </w:rPr>
      </w:pPr>
      <w:r>
        <w:rPr>
          <w:rFonts w:cs="Arial"/>
          <w:color w:val="4BACC6" w:themeColor="accent5"/>
          <w:sz w:val="24"/>
          <w:szCs w:val="24"/>
        </w:rPr>
        <w:t>Asimismo, el sujeto obligado cumple con los principios de congruencia y exhaustividad que marca el artículo 3° de la Ley Federal de Procedimiento Administrativo, de aplicación supletoria a la Ley Federal de Transparencia y Acceso a la Información Pública, en términos de su artículo 7, mismo que establece el criterio 02/2017, Segunda Época, INAI, El cual dice:</w:t>
      </w:r>
    </w:p>
    <w:p w:rsidR="00150C53" w:rsidRDefault="00150C53" w:rsidP="00150C53">
      <w:pPr>
        <w:pStyle w:val="corte4fondo"/>
        <w:tabs>
          <w:tab w:val="left" w:pos="567"/>
        </w:tabs>
        <w:rPr>
          <w:rFonts w:cs="Arial"/>
          <w:color w:val="4BACC6" w:themeColor="accent5"/>
          <w:sz w:val="24"/>
          <w:szCs w:val="24"/>
        </w:rPr>
      </w:pPr>
    </w:p>
    <w:p w:rsidR="00150C53" w:rsidRPr="002D1C25" w:rsidRDefault="00150C53" w:rsidP="00150C53">
      <w:pPr>
        <w:pStyle w:val="corte4fondo"/>
        <w:tabs>
          <w:tab w:val="left" w:pos="567"/>
        </w:tabs>
        <w:spacing w:line="240" w:lineRule="auto"/>
        <w:rPr>
          <w:rFonts w:cs="Arial"/>
          <w:i/>
          <w:color w:val="4BACC6" w:themeColor="accent5"/>
          <w:sz w:val="20"/>
        </w:rPr>
      </w:pPr>
      <w:r>
        <w:rPr>
          <w:rFonts w:cs="Arial"/>
          <w:b/>
          <w:i/>
          <w:color w:val="4BACC6" w:themeColor="accent5"/>
          <w:sz w:val="20"/>
        </w:rPr>
        <w:t>“</w:t>
      </w:r>
      <w:r w:rsidRPr="002D1C25">
        <w:rPr>
          <w:rFonts w:cs="Arial"/>
          <w:b/>
          <w:i/>
          <w:color w:val="4BACC6" w:themeColor="accent5"/>
          <w:sz w:val="20"/>
        </w:rPr>
        <w:t xml:space="preserve">Congruencia y exhaustividad. Sus alcances para garantizar el derecho de acceso a la información. </w:t>
      </w:r>
      <w:r w:rsidRPr="002D1C25">
        <w:rPr>
          <w:rFonts w:cs="Arial"/>
          <w:i/>
          <w:color w:val="4BACC6" w:themeColor="accent5"/>
          <w:sz w:val="20"/>
        </w:rPr>
        <w:t xml:space="preserve">De conformidad con el artículo </w:t>
      </w:r>
      <w:r w:rsidRPr="002D1C25">
        <w:rPr>
          <w:i/>
          <w:color w:val="4BACC6" w:themeColor="accent5"/>
          <w:sz w:val="20"/>
          <w:lang w:val="es-ES_tradnl"/>
        </w:rPr>
        <w:t>3 de la Ley Federal de Procedimiento Administrativo</w:t>
      </w:r>
      <w:r w:rsidRPr="002D1C25">
        <w:rPr>
          <w:rFonts w:cs="Arial"/>
          <w:i/>
          <w:color w:val="4BACC6" w:themeColor="accent5"/>
          <w:sz w:val="20"/>
        </w:rPr>
        <w:t>, de aplicación supletoria a la Ley Federal de Transparencia y Acceso a la Información Pública, en términos de su artículo 7; todo acto administrativo debe cumplir con los principios de congruencia y exhaustividad. Para el efectivo ejercicio del derecho de acceso a la información, la congruencia implica que exista concordancia entre el requerimiento formulado por el particular y la respuesta proporcionada por el sujeto obligado; mientras que la exhaustividad significa que dicha respuesta se refiera expresamente a cada uno de los puntos solicitados. Por lo anterior, los sujetos obligados cumplirán con los principios de congruencia y exhaustividad, cuando las respuestas que emitan guarden una relación lógica con lo solicitado y atiendan de manera puntual y expresa, cada uno de los contenidos de información.</w:t>
      </w:r>
      <w:r>
        <w:rPr>
          <w:rFonts w:cs="Arial"/>
          <w:i/>
          <w:color w:val="4BACC6" w:themeColor="accent5"/>
          <w:sz w:val="20"/>
        </w:rPr>
        <w:t>”</w:t>
      </w:r>
    </w:p>
    <w:p w:rsidR="00150C53" w:rsidRDefault="00150C53" w:rsidP="00BD19F4">
      <w:pPr>
        <w:pStyle w:val="corte4fondo"/>
        <w:tabs>
          <w:tab w:val="left" w:pos="567"/>
        </w:tabs>
        <w:rPr>
          <w:rFonts w:cs="Arial"/>
          <w:color w:val="4BACC6" w:themeColor="accent5"/>
          <w:sz w:val="24"/>
          <w:szCs w:val="24"/>
        </w:rPr>
      </w:pPr>
    </w:p>
    <w:p w:rsidR="00150C53" w:rsidRDefault="00150C53" w:rsidP="00BD19F4">
      <w:pPr>
        <w:pStyle w:val="corte4fondo"/>
        <w:tabs>
          <w:tab w:val="left" w:pos="567"/>
        </w:tabs>
        <w:rPr>
          <w:rFonts w:cs="Arial"/>
          <w:color w:val="4BACC6" w:themeColor="accent5"/>
          <w:sz w:val="24"/>
          <w:szCs w:val="24"/>
        </w:rPr>
      </w:pPr>
    </w:p>
    <w:p w:rsidR="008024C9" w:rsidRPr="00156C9D" w:rsidRDefault="008024C9" w:rsidP="001C3373">
      <w:pPr>
        <w:spacing w:after="0" w:line="360" w:lineRule="auto"/>
        <w:ind w:firstLine="708"/>
        <w:jc w:val="both"/>
        <w:rPr>
          <w:rFonts w:ascii="Arial" w:hAnsi="Arial" w:cs="Arial"/>
          <w:color w:val="4BACC6" w:themeColor="accent5"/>
          <w:sz w:val="24"/>
          <w:szCs w:val="24"/>
        </w:rPr>
      </w:pPr>
      <w:r w:rsidRPr="00156C9D">
        <w:rPr>
          <w:rFonts w:ascii="Arial" w:hAnsi="Arial" w:cs="Arial"/>
          <w:color w:val="4BACC6" w:themeColor="accent5"/>
          <w:sz w:val="24"/>
          <w:szCs w:val="24"/>
        </w:rPr>
        <w:t xml:space="preserve">Por otro lado, esta Comisión por </w:t>
      </w:r>
      <w:r w:rsidR="004C415C" w:rsidRPr="00156C9D">
        <w:rPr>
          <w:rFonts w:ascii="Arial" w:hAnsi="Arial" w:cs="Arial"/>
          <w:color w:val="4BACC6" w:themeColor="accent5"/>
          <w:sz w:val="24"/>
          <w:szCs w:val="24"/>
        </w:rPr>
        <w:t>medio de prov</w:t>
      </w:r>
      <w:r w:rsidR="00184E79" w:rsidRPr="00156C9D">
        <w:rPr>
          <w:rFonts w:ascii="Arial" w:hAnsi="Arial" w:cs="Arial"/>
          <w:color w:val="4BACC6" w:themeColor="accent5"/>
          <w:sz w:val="24"/>
          <w:szCs w:val="24"/>
        </w:rPr>
        <w:t xml:space="preserve">eído de </w:t>
      </w:r>
      <w:r w:rsidR="00E07D48">
        <w:rPr>
          <w:rFonts w:ascii="Arial" w:hAnsi="Arial" w:cs="Arial"/>
          <w:color w:val="4BACC6" w:themeColor="accent5"/>
          <w:sz w:val="24"/>
          <w:szCs w:val="24"/>
        </w:rPr>
        <w:t>primero de junio del año en curso</w:t>
      </w:r>
      <w:r w:rsidRPr="00156C9D">
        <w:rPr>
          <w:rFonts w:ascii="Arial" w:hAnsi="Arial" w:cs="Arial"/>
          <w:color w:val="4BACC6" w:themeColor="accent5"/>
          <w:sz w:val="24"/>
          <w:szCs w:val="24"/>
        </w:rPr>
        <w:t>, dio vista a la parte recurrente con las constancias remitidas por el sujeto obligado, para el efecto de que realizara las manifestaciones que a sus intereses conviniera, sin que hubiera realizado manifestación alguna al respecto, aun cuando fue notificado por el medio que designó</w:t>
      </w:r>
      <w:r w:rsidR="00B0797C" w:rsidRPr="00156C9D">
        <w:rPr>
          <w:rFonts w:ascii="Arial" w:hAnsi="Arial" w:cs="Arial"/>
          <w:color w:val="4BACC6" w:themeColor="accent5"/>
          <w:sz w:val="24"/>
          <w:szCs w:val="24"/>
        </w:rPr>
        <w:t xml:space="preserve"> </w:t>
      </w:r>
      <w:r w:rsidRPr="00156C9D">
        <w:rPr>
          <w:rFonts w:ascii="Arial" w:hAnsi="Arial" w:cs="Arial"/>
          <w:color w:val="4BACC6" w:themeColor="accent5"/>
          <w:sz w:val="24"/>
          <w:szCs w:val="24"/>
        </w:rPr>
        <w:t>tal como se desprende de las constancias de notificación que obran</w:t>
      </w:r>
      <w:r w:rsidR="00426890" w:rsidRPr="00156C9D">
        <w:rPr>
          <w:rFonts w:ascii="Arial" w:hAnsi="Arial" w:cs="Arial"/>
          <w:color w:val="4BACC6" w:themeColor="accent5"/>
          <w:sz w:val="24"/>
          <w:szCs w:val="24"/>
        </w:rPr>
        <w:t xml:space="preserve"> visibles a fojas </w:t>
      </w:r>
      <w:r w:rsidR="00156C9D" w:rsidRPr="00156C9D">
        <w:rPr>
          <w:rFonts w:ascii="Arial" w:hAnsi="Arial" w:cs="Arial"/>
          <w:color w:val="4BACC6" w:themeColor="accent5"/>
          <w:sz w:val="24"/>
          <w:szCs w:val="24"/>
        </w:rPr>
        <w:t>6</w:t>
      </w:r>
      <w:r w:rsidR="00E07D48">
        <w:rPr>
          <w:rFonts w:ascii="Arial" w:hAnsi="Arial" w:cs="Arial"/>
          <w:color w:val="4BACC6" w:themeColor="accent5"/>
          <w:sz w:val="24"/>
          <w:szCs w:val="24"/>
        </w:rPr>
        <w:t>5</w:t>
      </w:r>
      <w:r w:rsidR="00156C9D" w:rsidRPr="00156C9D">
        <w:rPr>
          <w:rFonts w:ascii="Arial" w:hAnsi="Arial" w:cs="Arial"/>
          <w:color w:val="4BACC6" w:themeColor="accent5"/>
          <w:sz w:val="24"/>
          <w:szCs w:val="24"/>
        </w:rPr>
        <w:t xml:space="preserve"> </w:t>
      </w:r>
      <w:r w:rsidR="007378F8">
        <w:rPr>
          <w:rFonts w:ascii="Arial" w:hAnsi="Arial" w:cs="Arial"/>
          <w:color w:val="4BACC6" w:themeColor="accent5"/>
          <w:sz w:val="24"/>
          <w:szCs w:val="24"/>
        </w:rPr>
        <w:t>a</w:t>
      </w:r>
      <w:r w:rsidR="00156C9D" w:rsidRPr="00156C9D">
        <w:rPr>
          <w:rFonts w:ascii="Arial" w:hAnsi="Arial" w:cs="Arial"/>
          <w:color w:val="4BACC6" w:themeColor="accent5"/>
          <w:sz w:val="24"/>
          <w:szCs w:val="24"/>
        </w:rPr>
        <w:t xml:space="preserve"> </w:t>
      </w:r>
      <w:r w:rsidR="00E07D48">
        <w:rPr>
          <w:rFonts w:ascii="Arial" w:hAnsi="Arial" w:cs="Arial"/>
          <w:color w:val="4BACC6" w:themeColor="accent5"/>
          <w:sz w:val="24"/>
          <w:szCs w:val="24"/>
        </w:rPr>
        <w:t>67</w:t>
      </w:r>
      <w:r w:rsidRPr="00156C9D">
        <w:rPr>
          <w:rFonts w:ascii="Arial" w:hAnsi="Arial" w:cs="Arial"/>
          <w:color w:val="4BACC6" w:themeColor="accent5"/>
          <w:sz w:val="24"/>
          <w:szCs w:val="24"/>
        </w:rPr>
        <w:t xml:space="preserve"> de autos.</w:t>
      </w:r>
    </w:p>
    <w:p w:rsidR="008024C9" w:rsidRPr="00D7336A" w:rsidRDefault="008024C9" w:rsidP="008024C9">
      <w:pPr>
        <w:spacing w:after="0" w:line="360" w:lineRule="auto"/>
        <w:ind w:firstLine="709"/>
        <w:jc w:val="both"/>
        <w:rPr>
          <w:rFonts w:ascii="Arial" w:hAnsi="Arial" w:cs="Arial"/>
          <w:color w:val="4BACC6" w:themeColor="accent5"/>
          <w:sz w:val="24"/>
          <w:szCs w:val="24"/>
        </w:rPr>
      </w:pPr>
    </w:p>
    <w:p w:rsidR="008024C9" w:rsidRPr="00D7336A" w:rsidRDefault="008024C9"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lastRenderedPageBreak/>
        <w:t xml:space="preserve">En ese sentido, es dable asentar que no existe constancia alguna agregada a los autos que contravenga las documentales remitidas por el sujeto obligado para acreditar el cumplimiento de la resolución. </w:t>
      </w:r>
    </w:p>
    <w:p w:rsidR="00184E79" w:rsidRPr="00D7336A" w:rsidRDefault="00184E79" w:rsidP="00184E79">
      <w:pPr>
        <w:spacing w:after="0" w:line="360" w:lineRule="auto"/>
        <w:ind w:firstLine="709"/>
        <w:jc w:val="both"/>
        <w:rPr>
          <w:rFonts w:ascii="Arial" w:hAnsi="Arial" w:cs="Arial"/>
          <w:color w:val="4BACC6" w:themeColor="accent5"/>
          <w:sz w:val="24"/>
          <w:szCs w:val="24"/>
        </w:rPr>
      </w:pPr>
    </w:p>
    <w:p w:rsidR="008024C9" w:rsidRPr="00D7336A" w:rsidRDefault="005A2395" w:rsidP="00977800">
      <w:pPr>
        <w:spacing w:after="0" w:line="360" w:lineRule="auto"/>
        <w:ind w:firstLine="708"/>
        <w:jc w:val="both"/>
        <w:rPr>
          <w:rFonts w:ascii="Arial" w:hAnsi="Arial" w:cs="Arial"/>
          <w:b/>
          <w:color w:val="4BACC6" w:themeColor="accent5"/>
          <w:sz w:val="24"/>
          <w:szCs w:val="24"/>
        </w:rPr>
      </w:pPr>
      <w:r w:rsidRPr="00D7336A">
        <w:rPr>
          <w:rFonts w:ascii="Arial" w:hAnsi="Arial" w:cs="Arial"/>
          <w:color w:val="4BACC6" w:themeColor="accent5"/>
          <w:sz w:val="24"/>
          <w:szCs w:val="24"/>
        </w:rPr>
        <w:t>En consecuencia, p</w:t>
      </w:r>
      <w:r w:rsidR="004F5CDC" w:rsidRPr="00D7336A">
        <w:rPr>
          <w:rFonts w:ascii="Arial" w:hAnsi="Arial" w:cs="Arial"/>
          <w:color w:val="4BACC6" w:themeColor="accent5"/>
          <w:sz w:val="24"/>
          <w:szCs w:val="24"/>
        </w:rPr>
        <w:t xml:space="preserve">or lo </w:t>
      </w:r>
      <w:r w:rsidR="00ED7190" w:rsidRPr="00D7336A">
        <w:rPr>
          <w:rFonts w:ascii="Arial" w:hAnsi="Arial" w:cs="Arial"/>
          <w:color w:val="4BACC6" w:themeColor="accent5"/>
          <w:sz w:val="24"/>
          <w:szCs w:val="24"/>
        </w:rPr>
        <w:t xml:space="preserve">anteriormente </w:t>
      </w:r>
      <w:r w:rsidR="000A4472" w:rsidRPr="00D7336A">
        <w:rPr>
          <w:rFonts w:ascii="Arial" w:hAnsi="Arial" w:cs="Arial"/>
          <w:color w:val="4BACC6" w:themeColor="accent5"/>
          <w:sz w:val="24"/>
          <w:szCs w:val="24"/>
        </w:rPr>
        <w:t xml:space="preserve">expuesto </w:t>
      </w:r>
      <w:r w:rsidR="004F5CDC" w:rsidRPr="00D7336A">
        <w:rPr>
          <w:rFonts w:ascii="Arial" w:hAnsi="Arial" w:cs="Arial"/>
          <w:color w:val="4BACC6" w:themeColor="accent5"/>
          <w:sz w:val="24"/>
          <w:szCs w:val="24"/>
        </w:rPr>
        <w:t>y c</w:t>
      </w:r>
      <w:r w:rsidR="003E3238" w:rsidRPr="00D7336A">
        <w:rPr>
          <w:rFonts w:ascii="Arial" w:hAnsi="Arial" w:cs="Arial"/>
          <w:color w:val="4BACC6" w:themeColor="accent5"/>
          <w:sz w:val="24"/>
          <w:szCs w:val="24"/>
        </w:rPr>
        <w:t xml:space="preserve">on fundamento en los artículos </w:t>
      </w:r>
      <w:r w:rsidR="004F5CDC" w:rsidRPr="00D7336A">
        <w:rPr>
          <w:rFonts w:ascii="Arial" w:hAnsi="Arial" w:cs="Arial"/>
          <w:color w:val="4BACC6" w:themeColor="accent5"/>
          <w:sz w:val="24"/>
          <w:szCs w:val="24"/>
        </w:rPr>
        <w:t xml:space="preserve">27° primer párrafo y 185 de la Ley de Transparencia y Acceso a la Información Pública del Estado, </w:t>
      </w:r>
      <w:r w:rsidR="004F5CDC" w:rsidRPr="00D7336A">
        <w:rPr>
          <w:rFonts w:ascii="Arial" w:hAnsi="Arial" w:cs="Arial"/>
          <w:b/>
          <w:color w:val="4BACC6" w:themeColor="accent5"/>
          <w:sz w:val="24"/>
          <w:szCs w:val="24"/>
        </w:rPr>
        <w:t>se tiene</w:t>
      </w:r>
      <w:r w:rsidR="008024C9" w:rsidRPr="00D7336A">
        <w:rPr>
          <w:rFonts w:ascii="Arial" w:hAnsi="Arial" w:cs="Arial"/>
          <w:b/>
          <w:color w:val="4BACC6" w:themeColor="accent5"/>
          <w:sz w:val="24"/>
          <w:szCs w:val="24"/>
        </w:rPr>
        <w:t xml:space="preserve"> por cumplida </w:t>
      </w:r>
      <w:r w:rsidR="004C415C" w:rsidRPr="00D7336A">
        <w:rPr>
          <w:rFonts w:ascii="Arial" w:hAnsi="Arial" w:cs="Arial"/>
          <w:b/>
          <w:color w:val="4BACC6" w:themeColor="accent5"/>
          <w:sz w:val="24"/>
          <w:szCs w:val="24"/>
        </w:rPr>
        <w:t>l</w:t>
      </w:r>
      <w:r w:rsidR="00184E79" w:rsidRPr="00D7336A">
        <w:rPr>
          <w:rFonts w:ascii="Arial" w:hAnsi="Arial" w:cs="Arial"/>
          <w:b/>
          <w:color w:val="4BACC6" w:themeColor="accent5"/>
          <w:sz w:val="24"/>
          <w:szCs w:val="24"/>
        </w:rPr>
        <w:t xml:space="preserve">a </w:t>
      </w:r>
      <w:r w:rsidR="00453A8D" w:rsidRPr="00D7336A">
        <w:rPr>
          <w:rFonts w:ascii="Arial" w:hAnsi="Arial" w:cs="Arial"/>
          <w:b/>
          <w:color w:val="4BACC6" w:themeColor="accent5"/>
          <w:sz w:val="24"/>
          <w:szCs w:val="24"/>
        </w:rPr>
        <w:t>resolución</w:t>
      </w:r>
      <w:r w:rsidR="008024C9" w:rsidRPr="00D7336A">
        <w:rPr>
          <w:rFonts w:ascii="Arial" w:hAnsi="Arial" w:cs="Arial"/>
          <w:b/>
          <w:color w:val="4BACC6" w:themeColor="accent5"/>
          <w:sz w:val="24"/>
          <w:szCs w:val="24"/>
        </w:rPr>
        <w:t>, dictada</w:t>
      </w:r>
      <w:r w:rsidR="004C415C" w:rsidRPr="00D7336A">
        <w:rPr>
          <w:rFonts w:ascii="Arial" w:hAnsi="Arial" w:cs="Arial"/>
          <w:b/>
          <w:color w:val="4BACC6" w:themeColor="accent5"/>
          <w:sz w:val="24"/>
          <w:szCs w:val="24"/>
        </w:rPr>
        <w:t xml:space="preserve"> </w:t>
      </w:r>
      <w:r w:rsidR="00426890">
        <w:rPr>
          <w:rFonts w:ascii="Arial" w:hAnsi="Arial" w:cs="Arial"/>
          <w:b/>
          <w:color w:val="4BACC6" w:themeColor="accent5"/>
          <w:sz w:val="24"/>
          <w:szCs w:val="24"/>
        </w:rPr>
        <w:t>en el recurso de revisión RR-</w:t>
      </w:r>
      <w:r w:rsidR="00E07D48">
        <w:rPr>
          <w:rFonts w:ascii="Arial" w:hAnsi="Arial" w:cs="Arial"/>
          <w:b/>
          <w:color w:val="4BACC6" w:themeColor="accent5"/>
          <w:sz w:val="24"/>
          <w:szCs w:val="24"/>
        </w:rPr>
        <w:t>112</w:t>
      </w:r>
      <w:r w:rsidR="001E317B" w:rsidRPr="00D7336A">
        <w:rPr>
          <w:rFonts w:ascii="Arial" w:hAnsi="Arial" w:cs="Arial"/>
          <w:b/>
          <w:color w:val="4BACC6" w:themeColor="accent5"/>
          <w:sz w:val="24"/>
          <w:szCs w:val="24"/>
        </w:rPr>
        <w:t>/201</w:t>
      </w:r>
      <w:r w:rsidR="00E07D48">
        <w:rPr>
          <w:rFonts w:ascii="Arial" w:hAnsi="Arial" w:cs="Arial"/>
          <w:b/>
          <w:color w:val="4BACC6" w:themeColor="accent5"/>
          <w:sz w:val="24"/>
          <w:szCs w:val="24"/>
        </w:rPr>
        <w:t>8</w:t>
      </w:r>
      <w:r w:rsidR="008024C9" w:rsidRPr="00D7336A">
        <w:rPr>
          <w:rFonts w:ascii="Arial" w:hAnsi="Arial" w:cs="Arial"/>
          <w:b/>
          <w:color w:val="4BACC6" w:themeColor="accent5"/>
          <w:sz w:val="24"/>
          <w:szCs w:val="24"/>
        </w:rPr>
        <w:t>-1</w:t>
      </w:r>
      <w:r w:rsidR="005A774A">
        <w:rPr>
          <w:rFonts w:ascii="Arial" w:hAnsi="Arial" w:cs="Arial"/>
          <w:b/>
          <w:color w:val="4BACC6" w:themeColor="accent5"/>
          <w:sz w:val="24"/>
          <w:szCs w:val="24"/>
        </w:rPr>
        <w:t xml:space="preserve"> </w:t>
      </w:r>
      <w:r w:rsidR="00E07D48">
        <w:rPr>
          <w:rFonts w:ascii="Arial" w:hAnsi="Arial" w:cs="Arial"/>
          <w:b/>
          <w:color w:val="4BACC6" w:themeColor="accent5"/>
          <w:sz w:val="24"/>
          <w:szCs w:val="24"/>
        </w:rPr>
        <w:t>PLATAFORMA</w:t>
      </w:r>
      <w:r w:rsidR="008024C9" w:rsidRPr="00D7336A">
        <w:rPr>
          <w:rFonts w:ascii="Arial" w:hAnsi="Arial" w:cs="Arial"/>
          <w:b/>
          <w:color w:val="4BACC6" w:themeColor="accent5"/>
          <w:sz w:val="24"/>
          <w:szCs w:val="24"/>
        </w:rPr>
        <w:t>.</w:t>
      </w:r>
    </w:p>
    <w:p w:rsidR="008024C9" w:rsidRPr="00D7336A" w:rsidRDefault="008024C9" w:rsidP="004F5CDC">
      <w:pPr>
        <w:spacing w:after="0" w:line="360" w:lineRule="auto"/>
        <w:ind w:firstLine="709"/>
        <w:jc w:val="both"/>
        <w:rPr>
          <w:rFonts w:ascii="Arial" w:hAnsi="Arial" w:cs="Arial"/>
          <w:b/>
          <w:color w:val="4BACC6" w:themeColor="accent5"/>
          <w:sz w:val="24"/>
          <w:szCs w:val="24"/>
        </w:rPr>
      </w:pPr>
    </w:p>
    <w:p w:rsidR="007378F8" w:rsidRDefault="008024C9" w:rsidP="004F5CDC">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4F5CDC" w:rsidRPr="00D7336A">
        <w:rPr>
          <w:rFonts w:ascii="Arial" w:hAnsi="Arial" w:cs="Arial"/>
          <w:color w:val="4BACC6" w:themeColor="accent5"/>
          <w:sz w:val="24"/>
          <w:szCs w:val="24"/>
        </w:rPr>
        <w:t xml:space="preserve">Por último, archívese en su oportunidad este expediente como asunto totalmente concluido. </w:t>
      </w:r>
    </w:p>
    <w:p w:rsidR="007378F8" w:rsidRDefault="007378F8" w:rsidP="004F5CDC">
      <w:pPr>
        <w:spacing w:after="0" w:line="360" w:lineRule="auto"/>
        <w:ind w:firstLine="709"/>
        <w:jc w:val="both"/>
        <w:rPr>
          <w:rFonts w:ascii="Arial" w:hAnsi="Arial" w:cs="Arial"/>
          <w:b/>
          <w:color w:val="4BACC6" w:themeColor="accent5"/>
          <w:sz w:val="24"/>
          <w:szCs w:val="24"/>
        </w:rPr>
      </w:pPr>
    </w:p>
    <w:p w:rsidR="004F5CDC" w:rsidRPr="00D7336A" w:rsidRDefault="004F5CDC" w:rsidP="004F5CDC">
      <w:pPr>
        <w:spacing w:after="0" w:line="360" w:lineRule="auto"/>
        <w:ind w:firstLine="709"/>
        <w:jc w:val="both"/>
        <w:rPr>
          <w:rFonts w:ascii="Arial" w:hAnsi="Arial" w:cs="Arial"/>
          <w:color w:val="4BACC6" w:themeColor="accent5"/>
          <w:sz w:val="24"/>
          <w:szCs w:val="24"/>
        </w:rPr>
      </w:pPr>
      <w:r w:rsidRPr="00D7336A">
        <w:rPr>
          <w:rFonts w:ascii="Arial" w:hAnsi="Arial" w:cs="Arial"/>
          <w:b/>
          <w:color w:val="4BACC6" w:themeColor="accent5"/>
          <w:sz w:val="24"/>
          <w:szCs w:val="24"/>
        </w:rPr>
        <w:t>Notifíquese por lista y personalmente a las partes.</w:t>
      </w:r>
    </w:p>
    <w:p w:rsidR="004F5CDC" w:rsidRPr="00D7336A" w:rsidRDefault="004C415C" w:rsidP="00490BC0">
      <w:pPr>
        <w:tabs>
          <w:tab w:val="left" w:pos="3795"/>
        </w:tabs>
        <w:spacing w:after="0" w:line="240" w:lineRule="auto"/>
        <w:jc w:val="both"/>
        <w:rPr>
          <w:rFonts w:ascii="Arial" w:eastAsia="Batang" w:hAnsi="Arial" w:cs="Arial"/>
          <w:color w:val="4BACC6" w:themeColor="accent5"/>
          <w:sz w:val="24"/>
          <w:szCs w:val="24"/>
        </w:rPr>
      </w:pPr>
      <w:r w:rsidRPr="00D7336A">
        <w:rPr>
          <w:rFonts w:ascii="Arial" w:eastAsia="Batang" w:hAnsi="Arial" w:cs="Arial"/>
          <w:color w:val="4BACC6" w:themeColor="accent5"/>
          <w:sz w:val="24"/>
          <w:szCs w:val="24"/>
        </w:rPr>
        <w:tab/>
      </w:r>
    </w:p>
    <w:p w:rsidR="004F5CDC" w:rsidRDefault="004F5CDC" w:rsidP="005A774A">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Así lo proveyó y firma el Comisionado P</w:t>
      </w:r>
      <w:r w:rsidR="00E07D48">
        <w:rPr>
          <w:rFonts w:ascii="Arial" w:hAnsi="Arial" w:cs="Arial"/>
          <w:color w:val="4BACC6" w:themeColor="accent5"/>
          <w:sz w:val="24"/>
          <w:szCs w:val="24"/>
        </w:rPr>
        <w:t>onente</w:t>
      </w:r>
      <w:r w:rsidRPr="00D7336A">
        <w:rPr>
          <w:rFonts w:ascii="Arial" w:hAnsi="Arial" w:cs="Arial"/>
          <w:color w:val="4BACC6" w:themeColor="accent5"/>
          <w:sz w:val="24"/>
          <w:szCs w:val="24"/>
        </w:rPr>
        <w:t xml:space="preserve"> de la Comisión Estatal de Garantía de Acceso a la Información Pública Alejandro Lafuente Torres, que actúa con Rosa María Motilla García, Secretaria de Pleno que da fe.</w:t>
      </w:r>
    </w:p>
    <w:p w:rsidR="00A45785" w:rsidRDefault="00A45785" w:rsidP="005A774A">
      <w:pPr>
        <w:spacing w:after="0" w:line="360" w:lineRule="auto"/>
        <w:ind w:firstLine="709"/>
        <w:jc w:val="both"/>
        <w:rPr>
          <w:rFonts w:ascii="Arial" w:hAnsi="Arial" w:cs="Arial"/>
          <w:color w:val="4BACC6" w:themeColor="accent5"/>
          <w:sz w:val="24"/>
          <w:szCs w:val="24"/>
        </w:rPr>
      </w:pPr>
    </w:p>
    <w:p w:rsidR="001D0AE1" w:rsidRDefault="001D0AE1" w:rsidP="005A774A">
      <w:pPr>
        <w:spacing w:after="0" w:line="360" w:lineRule="auto"/>
        <w:ind w:firstLine="709"/>
        <w:jc w:val="both"/>
        <w:rPr>
          <w:rFonts w:ascii="Arial" w:hAnsi="Arial" w:cs="Arial"/>
          <w:color w:val="4BACC6" w:themeColor="accent5"/>
          <w:sz w:val="24"/>
          <w:szCs w:val="24"/>
        </w:rPr>
      </w:pPr>
    </w:p>
    <w:p w:rsidR="00CF7894" w:rsidRPr="005A774A" w:rsidRDefault="00CF7894" w:rsidP="005A774A">
      <w:pPr>
        <w:spacing w:after="0" w:line="360" w:lineRule="auto"/>
        <w:ind w:firstLine="709"/>
        <w:jc w:val="both"/>
        <w:rPr>
          <w:rFonts w:ascii="Arial" w:hAnsi="Arial" w:cs="Arial"/>
          <w:color w:val="4BACC6" w:themeColor="accent5"/>
          <w:sz w:val="24"/>
          <w:szCs w:val="24"/>
        </w:rPr>
      </w:pPr>
    </w:p>
    <w:p w:rsidR="004F5CDC" w:rsidRPr="00D7336A" w:rsidRDefault="004F5CDC" w:rsidP="004F5CDC">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Alejandro Lafuente Torres</w:t>
      </w:r>
      <w:r w:rsidRPr="00D7336A">
        <w:rPr>
          <w:rFonts w:ascii="Arial" w:hAnsi="Arial" w:cs="Arial"/>
          <w:color w:val="4BACC6" w:themeColor="accent5"/>
          <w:sz w:val="24"/>
          <w:szCs w:val="24"/>
        </w:rPr>
        <w:t xml:space="preserve"> </w:t>
      </w:r>
      <w:r w:rsidRPr="00D7336A">
        <w:rPr>
          <w:rFonts w:ascii="Arial" w:hAnsi="Arial" w:cs="Arial"/>
          <w:b/>
          <w:color w:val="4BACC6" w:themeColor="accent5"/>
          <w:sz w:val="24"/>
          <w:szCs w:val="24"/>
          <w:lang w:val="es-ES"/>
        </w:rPr>
        <w:t xml:space="preserve">          </w:t>
      </w:r>
      <w:r w:rsidR="00156C9D">
        <w:rPr>
          <w:rFonts w:ascii="Arial" w:hAnsi="Arial" w:cs="Arial"/>
          <w:b/>
          <w:color w:val="4BACC6" w:themeColor="accent5"/>
          <w:sz w:val="24"/>
          <w:szCs w:val="24"/>
          <w:lang w:val="es-ES"/>
        </w:rPr>
        <w:t xml:space="preserve">            </w:t>
      </w:r>
      <w:r w:rsidRPr="00D7336A">
        <w:rPr>
          <w:rFonts w:ascii="Arial" w:hAnsi="Arial" w:cs="Arial"/>
          <w:b/>
          <w:color w:val="4BACC6" w:themeColor="accent5"/>
          <w:sz w:val="24"/>
          <w:szCs w:val="24"/>
          <w:lang w:val="es-ES"/>
        </w:rPr>
        <w:t>Rosa María Motilla García</w:t>
      </w:r>
      <w:r w:rsidRPr="00D7336A">
        <w:rPr>
          <w:rFonts w:ascii="Arial" w:hAnsi="Arial" w:cs="Arial"/>
          <w:b/>
          <w:color w:val="4BACC6" w:themeColor="accent5"/>
          <w:sz w:val="24"/>
          <w:szCs w:val="24"/>
        </w:rPr>
        <w:t xml:space="preserve">        </w:t>
      </w:r>
    </w:p>
    <w:p w:rsidR="00A45785" w:rsidRDefault="004F5CDC" w:rsidP="005A774A">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Comisionado P</w:t>
      </w:r>
      <w:r w:rsidR="00E07D48">
        <w:rPr>
          <w:rFonts w:ascii="Arial" w:hAnsi="Arial" w:cs="Arial"/>
          <w:b/>
          <w:color w:val="4BACC6" w:themeColor="accent5"/>
          <w:sz w:val="24"/>
          <w:szCs w:val="24"/>
        </w:rPr>
        <w:t xml:space="preserve">onente                               </w:t>
      </w:r>
      <w:r w:rsidR="00845E58">
        <w:rPr>
          <w:rFonts w:ascii="Arial" w:hAnsi="Arial" w:cs="Arial"/>
          <w:b/>
          <w:color w:val="4BACC6" w:themeColor="accent5"/>
          <w:sz w:val="24"/>
          <w:szCs w:val="24"/>
        </w:rPr>
        <w:t>Secretaria de Plen</w:t>
      </w:r>
      <w:r w:rsidR="005A774A">
        <w:rPr>
          <w:rFonts w:ascii="Arial" w:hAnsi="Arial" w:cs="Arial"/>
          <w:b/>
          <w:color w:val="4BACC6" w:themeColor="accent5"/>
          <w:sz w:val="24"/>
          <w:szCs w:val="24"/>
        </w:rPr>
        <w:t>o</w:t>
      </w:r>
    </w:p>
    <w:p w:rsidR="002477AF" w:rsidRDefault="002477AF" w:rsidP="005A774A">
      <w:pPr>
        <w:spacing w:after="0" w:line="240" w:lineRule="auto"/>
        <w:ind w:firstLine="709"/>
        <w:jc w:val="both"/>
        <w:rPr>
          <w:rFonts w:ascii="Arial" w:hAnsi="Arial" w:cs="Arial"/>
          <w:b/>
          <w:color w:val="4BACC6" w:themeColor="accent5"/>
          <w:sz w:val="24"/>
          <w:szCs w:val="24"/>
        </w:rPr>
      </w:pPr>
    </w:p>
    <w:p w:rsidR="00156C9D" w:rsidRDefault="00156C9D" w:rsidP="005A774A">
      <w:pPr>
        <w:spacing w:after="0" w:line="240" w:lineRule="auto"/>
        <w:ind w:firstLine="709"/>
        <w:jc w:val="both"/>
        <w:rPr>
          <w:rFonts w:ascii="Arial" w:hAnsi="Arial" w:cs="Arial"/>
          <w:b/>
          <w:color w:val="4BACC6" w:themeColor="accent5"/>
          <w:sz w:val="24"/>
          <w:szCs w:val="24"/>
        </w:rPr>
      </w:pPr>
    </w:p>
    <w:p w:rsidR="00156C9D" w:rsidRDefault="00156C9D" w:rsidP="005A774A">
      <w:pPr>
        <w:spacing w:after="0" w:line="240" w:lineRule="auto"/>
        <w:ind w:firstLine="709"/>
        <w:jc w:val="both"/>
        <w:rPr>
          <w:rFonts w:ascii="Arial" w:hAnsi="Arial" w:cs="Arial"/>
          <w:color w:val="4BACC6" w:themeColor="accent5"/>
          <w:sz w:val="16"/>
          <w:szCs w:val="16"/>
        </w:rPr>
      </w:pPr>
    </w:p>
    <w:p w:rsidR="00156C9D" w:rsidRDefault="00156C9D" w:rsidP="005A774A">
      <w:pPr>
        <w:spacing w:after="0" w:line="240" w:lineRule="auto"/>
        <w:ind w:firstLine="709"/>
        <w:jc w:val="both"/>
        <w:rPr>
          <w:rFonts w:ascii="Arial" w:hAnsi="Arial" w:cs="Arial"/>
          <w:color w:val="4BACC6" w:themeColor="accent5"/>
          <w:sz w:val="16"/>
          <w:szCs w:val="16"/>
        </w:rPr>
      </w:pPr>
    </w:p>
    <w:p w:rsidR="00156C9D" w:rsidRPr="00CF7894" w:rsidRDefault="00156C9D" w:rsidP="005A774A">
      <w:pPr>
        <w:spacing w:after="0" w:line="240" w:lineRule="auto"/>
        <w:ind w:firstLine="709"/>
        <w:jc w:val="both"/>
        <w:rPr>
          <w:rFonts w:ascii="Arial" w:hAnsi="Arial" w:cs="Arial"/>
          <w:color w:val="4BACC6" w:themeColor="accent5"/>
          <w:sz w:val="16"/>
          <w:szCs w:val="16"/>
        </w:rPr>
      </w:pPr>
    </w:p>
    <w:p w:rsidR="008839E5" w:rsidRPr="00CF7894" w:rsidRDefault="002477AF" w:rsidP="00150C53">
      <w:pPr>
        <w:spacing w:after="0" w:line="240" w:lineRule="auto"/>
        <w:jc w:val="both"/>
        <w:rPr>
          <w:rFonts w:ascii="Arial" w:hAnsi="Arial" w:cs="Arial"/>
          <w:color w:val="4BACC6" w:themeColor="accent5"/>
          <w:sz w:val="16"/>
          <w:szCs w:val="16"/>
        </w:rPr>
      </w:pPr>
      <w:r w:rsidRPr="00CF7894">
        <w:rPr>
          <w:rFonts w:ascii="Arial" w:hAnsi="Arial" w:cs="Arial"/>
          <w:color w:val="4BACC6" w:themeColor="accent5"/>
          <w:sz w:val="16"/>
          <w:szCs w:val="16"/>
        </w:rPr>
        <w:t>O.R.E.J.</w:t>
      </w:r>
    </w:p>
    <w:p w:rsidR="007378F8" w:rsidRPr="00CF7894" w:rsidRDefault="007378F8" w:rsidP="002477AF">
      <w:pPr>
        <w:spacing w:after="0" w:line="240" w:lineRule="auto"/>
        <w:jc w:val="both"/>
        <w:rPr>
          <w:rFonts w:ascii="Arial" w:hAnsi="Arial" w:cs="Arial"/>
          <w:color w:val="4BACC6" w:themeColor="accent5"/>
          <w:sz w:val="16"/>
          <w:szCs w:val="16"/>
        </w:rPr>
      </w:pPr>
    </w:p>
    <w:p w:rsidR="00150C53" w:rsidRPr="00CF7894" w:rsidRDefault="007378F8" w:rsidP="002477AF">
      <w:pPr>
        <w:spacing w:after="0" w:line="240" w:lineRule="auto"/>
        <w:jc w:val="both"/>
        <w:rPr>
          <w:rFonts w:ascii="Arial" w:hAnsi="Arial" w:cs="Arial"/>
          <w:color w:val="4BACC6" w:themeColor="accent5"/>
          <w:sz w:val="16"/>
          <w:szCs w:val="16"/>
        </w:rPr>
      </w:pPr>
      <w:r w:rsidRPr="00CF7894">
        <w:rPr>
          <w:rFonts w:ascii="Arial" w:hAnsi="Arial" w:cs="Arial"/>
          <w:color w:val="4BACC6" w:themeColor="accent5"/>
          <w:sz w:val="16"/>
          <w:szCs w:val="16"/>
        </w:rPr>
        <w:t xml:space="preserve">(ESTA FOJA PERTENECE A LA PARTE FINAL DEL PROVEIDO DE </w:t>
      </w:r>
      <w:r w:rsidR="00150C53" w:rsidRPr="00CF7894">
        <w:rPr>
          <w:rFonts w:ascii="Arial" w:hAnsi="Arial" w:cs="Arial"/>
          <w:color w:val="4BACC6" w:themeColor="accent5"/>
          <w:sz w:val="16"/>
          <w:szCs w:val="16"/>
        </w:rPr>
        <w:t>DIECI</w:t>
      </w:r>
      <w:r w:rsidR="00C02820">
        <w:rPr>
          <w:rFonts w:ascii="Arial" w:hAnsi="Arial" w:cs="Arial"/>
          <w:color w:val="4BACC6" w:themeColor="accent5"/>
          <w:sz w:val="16"/>
          <w:szCs w:val="16"/>
        </w:rPr>
        <w:t>NUEVE</w:t>
      </w:r>
      <w:r w:rsidR="00150C53" w:rsidRPr="00CF7894">
        <w:rPr>
          <w:rFonts w:ascii="Arial" w:hAnsi="Arial" w:cs="Arial"/>
          <w:color w:val="4BACC6" w:themeColor="accent5"/>
          <w:sz w:val="16"/>
          <w:szCs w:val="16"/>
        </w:rPr>
        <w:t xml:space="preserve"> DE JULIO </w:t>
      </w:r>
      <w:r w:rsidRPr="00CF7894">
        <w:rPr>
          <w:rFonts w:ascii="Arial" w:hAnsi="Arial" w:cs="Arial"/>
          <w:color w:val="4BACC6" w:themeColor="accent5"/>
          <w:sz w:val="16"/>
          <w:szCs w:val="16"/>
        </w:rPr>
        <w:t xml:space="preserve">DE DOS MIL DIECIOCHO, DENTRO DEL RECURSO DE REVISIÓN </w:t>
      </w:r>
      <w:r w:rsidR="00150C53" w:rsidRPr="00CF7894">
        <w:rPr>
          <w:rFonts w:ascii="Arial" w:hAnsi="Arial" w:cs="Arial"/>
          <w:color w:val="4BACC6" w:themeColor="accent5"/>
          <w:sz w:val="16"/>
          <w:szCs w:val="16"/>
        </w:rPr>
        <w:t>112</w:t>
      </w:r>
      <w:r w:rsidRPr="00CF7894">
        <w:rPr>
          <w:rFonts w:ascii="Arial" w:hAnsi="Arial" w:cs="Arial"/>
          <w:color w:val="4BACC6" w:themeColor="accent5"/>
          <w:sz w:val="16"/>
          <w:szCs w:val="16"/>
        </w:rPr>
        <w:t>/201</w:t>
      </w:r>
      <w:r w:rsidR="00150C53" w:rsidRPr="00CF7894">
        <w:rPr>
          <w:rFonts w:ascii="Arial" w:hAnsi="Arial" w:cs="Arial"/>
          <w:color w:val="4BACC6" w:themeColor="accent5"/>
          <w:sz w:val="16"/>
          <w:szCs w:val="16"/>
        </w:rPr>
        <w:t>8</w:t>
      </w:r>
      <w:r w:rsidRPr="00CF7894">
        <w:rPr>
          <w:rFonts w:ascii="Arial" w:hAnsi="Arial" w:cs="Arial"/>
          <w:color w:val="4BACC6" w:themeColor="accent5"/>
          <w:sz w:val="16"/>
          <w:szCs w:val="16"/>
        </w:rPr>
        <w:t>-</w:t>
      </w:r>
      <w:r w:rsidR="00150C53" w:rsidRPr="00CF7894">
        <w:rPr>
          <w:rFonts w:ascii="Arial" w:hAnsi="Arial" w:cs="Arial"/>
          <w:color w:val="4BACC6" w:themeColor="accent5"/>
          <w:sz w:val="16"/>
          <w:szCs w:val="16"/>
        </w:rPr>
        <w:t>1 PLATAFORMA</w:t>
      </w:r>
      <w:r w:rsidRPr="00CF7894">
        <w:rPr>
          <w:rFonts w:ascii="Arial" w:hAnsi="Arial" w:cs="Arial"/>
          <w:color w:val="4BACC6" w:themeColor="accent5"/>
          <w:sz w:val="16"/>
          <w:szCs w:val="16"/>
        </w:rPr>
        <w:t>).</w:t>
      </w:r>
    </w:p>
    <w:p w:rsidR="00150C53" w:rsidRPr="00150C53" w:rsidRDefault="00150C53" w:rsidP="00150C53">
      <w:pPr>
        <w:rPr>
          <w:rFonts w:ascii="Arial" w:hAnsi="Arial" w:cs="Arial"/>
          <w:sz w:val="20"/>
          <w:szCs w:val="20"/>
        </w:rPr>
      </w:pPr>
    </w:p>
    <w:p w:rsidR="00150C53" w:rsidRDefault="00150C53" w:rsidP="00150C53">
      <w:pPr>
        <w:rPr>
          <w:rFonts w:ascii="Arial" w:hAnsi="Arial" w:cs="Arial"/>
          <w:sz w:val="20"/>
          <w:szCs w:val="20"/>
        </w:rPr>
      </w:pPr>
    </w:p>
    <w:p w:rsidR="00C02820" w:rsidRDefault="00C02820" w:rsidP="00150C53">
      <w:pPr>
        <w:rPr>
          <w:rFonts w:ascii="Arial" w:hAnsi="Arial" w:cs="Arial"/>
          <w:sz w:val="20"/>
          <w:szCs w:val="20"/>
        </w:rPr>
      </w:pPr>
      <w:bookmarkStart w:id="0" w:name="_GoBack"/>
      <w:bookmarkEnd w:id="0"/>
    </w:p>
    <w:p w:rsidR="00150C53" w:rsidRPr="00C02820" w:rsidRDefault="00150C53" w:rsidP="00150C53">
      <w:pPr>
        <w:jc w:val="both"/>
        <w:rPr>
          <w:rFonts w:ascii="Arial" w:hAnsi="Arial" w:cs="Arial"/>
          <w:color w:val="4472C4"/>
          <w:sz w:val="24"/>
          <w:szCs w:val="24"/>
        </w:rPr>
      </w:pPr>
      <w:r w:rsidRPr="00C02820">
        <w:rPr>
          <w:rFonts w:ascii="Arial" w:hAnsi="Arial" w:cs="Arial"/>
          <w:sz w:val="20"/>
          <w:szCs w:val="20"/>
        </w:rPr>
        <w:tab/>
      </w:r>
      <w:bookmarkStart w:id="1" w:name="_Hlk507149478"/>
      <w:r w:rsidRPr="00C02820">
        <w:rPr>
          <w:rFonts w:ascii="Arial" w:hAnsi="Arial" w:cs="Arial"/>
          <w:color w:val="4472C4"/>
          <w:sz w:val="24"/>
          <w:szCs w:val="24"/>
        </w:rPr>
        <w:t xml:space="preserve">A las ocho horas del día </w:t>
      </w:r>
      <w:r w:rsidR="00CF7894" w:rsidRPr="00C02820">
        <w:rPr>
          <w:rFonts w:ascii="Arial" w:hAnsi="Arial" w:cs="Arial"/>
          <w:color w:val="4472C4"/>
          <w:sz w:val="24"/>
          <w:szCs w:val="24"/>
        </w:rPr>
        <w:t>__</w:t>
      </w:r>
      <w:r w:rsidRPr="00C02820">
        <w:rPr>
          <w:rFonts w:ascii="Arial" w:hAnsi="Arial" w:cs="Arial"/>
          <w:color w:val="4472C4"/>
          <w:sz w:val="24"/>
          <w:szCs w:val="24"/>
        </w:rPr>
        <w:t>___</w:t>
      </w:r>
      <w:r w:rsidR="00CF7894" w:rsidRPr="00C02820">
        <w:rPr>
          <w:rFonts w:ascii="Arial" w:hAnsi="Arial" w:cs="Arial"/>
          <w:color w:val="4472C4"/>
          <w:sz w:val="24"/>
          <w:szCs w:val="24"/>
        </w:rPr>
        <w:t>__</w:t>
      </w:r>
      <w:r w:rsidRPr="00C02820">
        <w:rPr>
          <w:rFonts w:ascii="Arial" w:hAnsi="Arial" w:cs="Arial"/>
          <w:color w:val="4472C4"/>
          <w:sz w:val="24"/>
          <w:szCs w:val="24"/>
        </w:rPr>
        <w:t xml:space="preserve"> de</w:t>
      </w:r>
      <w:r w:rsidR="00CF7894" w:rsidRPr="00C02820">
        <w:rPr>
          <w:rFonts w:ascii="Arial" w:hAnsi="Arial" w:cs="Arial"/>
          <w:color w:val="4472C4"/>
          <w:sz w:val="24"/>
          <w:szCs w:val="24"/>
        </w:rPr>
        <w:t xml:space="preserve"> ____</w:t>
      </w:r>
      <w:r w:rsidRPr="00C02820">
        <w:rPr>
          <w:rFonts w:ascii="Arial" w:hAnsi="Arial" w:cs="Arial"/>
          <w:color w:val="4472C4"/>
          <w:sz w:val="24"/>
          <w:szCs w:val="24"/>
        </w:rPr>
        <w:t xml:space="preserve">___________ </w:t>
      </w:r>
      <w:proofErr w:type="spellStart"/>
      <w:r w:rsidRPr="00C02820">
        <w:rPr>
          <w:rFonts w:ascii="Arial" w:hAnsi="Arial" w:cs="Arial"/>
          <w:color w:val="4472C4"/>
          <w:sz w:val="24"/>
          <w:szCs w:val="24"/>
        </w:rPr>
        <w:t>de</w:t>
      </w:r>
      <w:proofErr w:type="spellEnd"/>
      <w:r w:rsidRPr="00C02820">
        <w:rPr>
          <w:rFonts w:ascii="Arial" w:hAnsi="Arial" w:cs="Arial"/>
          <w:color w:val="4472C4"/>
          <w:sz w:val="24"/>
          <w:szCs w:val="24"/>
        </w:rPr>
        <w:t xml:space="preserve"> </w:t>
      </w:r>
      <w:r w:rsidR="00CF7894" w:rsidRPr="00C02820">
        <w:rPr>
          <w:rFonts w:ascii="Arial" w:hAnsi="Arial" w:cs="Arial"/>
          <w:color w:val="4472C4"/>
          <w:sz w:val="24"/>
          <w:szCs w:val="24"/>
        </w:rPr>
        <w:t>____</w:t>
      </w:r>
      <w:r w:rsidRPr="00C02820">
        <w:rPr>
          <w:rFonts w:ascii="Arial" w:hAnsi="Arial" w:cs="Arial"/>
          <w:color w:val="4472C4"/>
          <w:sz w:val="24"/>
          <w:szCs w:val="24"/>
        </w:rPr>
        <w:t>_____, notifiqué el auto que antecede por lista que se fija y publica en los estrados de esta Comisión Estatal de Garantía de Acceso a la Información Pública, de conformidad con el artículo 46, fracción I, del Reglamento Interior de esta Comisión, para constancia legal. - - -</w:t>
      </w:r>
      <w:r w:rsidR="00CF7894" w:rsidRPr="00C02820">
        <w:rPr>
          <w:rFonts w:ascii="Arial" w:hAnsi="Arial" w:cs="Arial"/>
          <w:color w:val="4472C4"/>
          <w:sz w:val="24"/>
          <w:szCs w:val="24"/>
        </w:rPr>
        <w:t xml:space="preserve"> - - - - - - - - -</w:t>
      </w:r>
      <w:r w:rsidR="00C02820">
        <w:rPr>
          <w:rFonts w:ascii="Arial" w:hAnsi="Arial" w:cs="Arial"/>
          <w:color w:val="4472C4"/>
          <w:sz w:val="24"/>
          <w:szCs w:val="24"/>
        </w:rPr>
        <w:t xml:space="preserve"> - - - - - - - - - - - - - - - - - - -</w:t>
      </w:r>
      <w:r w:rsidR="00CF7894" w:rsidRPr="00C02820">
        <w:rPr>
          <w:rFonts w:ascii="Arial" w:hAnsi="Arial" w:cs="Arial"/>
          <w:color w:val="4472C4"/>
          <w:sz w:val="24"/>
          <w:szCs w:val="24"/>
        </w:rPr>
        <w:t xml:space="preserve"> - - - - -</w:t>
      </w:r>
      <w:r w:rsidR="00C02820">
        <w:rPr>
          <w:rFonts w:ascii="Arial" w:hAnsi="Arial" w:cs="Arial"/>
          <w:color w:val="4472C4"/>
          <w:sz w:val="24"/>
          <w:szCs w:val="24"/>
        </w:rPr>
        <w:t xml:space="preserve"> - - - </w:t>
      </w:r>
      <w:r w:rsidR="00CF7894" w:rsidRPr="00C02820">
        <w:rPr>
          <w:rFonts w:ascii="Arial" w:hAnsi="Arial" w:cs="Arial"/>
          <w:color w:val="4472C4"/>
          <w:sz w:val="24"/>
          <w:szCs w:val="24"/>
        </w:rPr>
        <w:t xml:space="preserve">- - </w:t>
      </w:r>
      <w:r w:rsidRPr="00C02820">
        <w:rPr>
          <w:rFonts w:ascii="Arial" w:hAnsi="Arial" w:cs="Arial"/>
          <w:color w:val="4472C4"/>
          <w:sz w:val="24"/>
          <w:szCs w:val="24"/>
        </w:rPr>
        <w:t xml:space="preserve">- - - - - - </w:t>
      </w:r>
      <w:r w:rsidR="00CF7894" w:rsidRPr="00C02820">
        <w:rPr>
          <w:rFonts w:ascii="Arial" w:hAnsi="Arial" w:cs="Arial"/>
          <w:color w:val="4472C4"/>
          <w:sz w:val="24"/>
          <w:szCs w:val="24"/>
        </w:rPr>
        <w:t>-</w:t>
      </w:r>
      <w:r w:rsidRPr="00C02820">
        <w:rPr>
          <w:rFonts w:ascii="Arial" w:hAnsi="Arial" w:cs="Arial"/>
          <w:color w:val="4472C4"/>
          <w:sz w:val="24"/>
          <w:szCs w:val="24"/>
        </w:rPr>
        <w:t xml:space="preserve"> - - - - </w:t>
      </w:r>
      <w:r w:rsidR="00CF7894" w:rsidRPr="00C02820">
        <w:rPr>
          <w:rFonts w:ascii="Arial" w:hAnsi="Arial" w:cs="Arial"/>
          <w:color w:val="4472C4"/>
          <w:sz w:val="24"/>
          <w:szCs w:val="24"/>
        </w:rPr>
        <w:t xml:space="preserve">- - - </w:t>
      </w:r>
      <w:r w:rsidRPr="00C02820">
        <w:rPr>
          <w:rFonts w:ascii="Arial" w:hAnsi="Arial" w:cs="Arial"/>
          <w:color w:val="4472C4"/>
          <w:sz w:val="24"/>
          <w:szCs w:val="24"/>
        </w:rPr>
        <w:t>- - -DOY FE. - - - - - - - - - - - - - - - - - - - - -</w:t>
      </w:r>
      <w:r w:rsidR="00CF7894" w:rsidRPr="00C02820">
        <w:rPr>
          <w:rFonts w:ascii="Arial" w:hAnsi="Arial" w:cs="Arial"/>
          <w:color w:val="4472C4"/>
          <w:sz w:val="24"/>
          <w:szCs w:val="24"/>
        </w:rPr>
        <w:t xml:space="preserve"> - - - - - - - -  </w:t>
      </w:r>
    </w:p>
    <w:p w:rsidR="00150C53" w:rsidRPr="00C02820" w:rsidRDefault="00150C53" w:rsidP="00150C53">
      <w:pPr>
        <w:jc w:val="center"/>
        <w:rPr>
          <w:rFonts w:ascii="Arial" w:hAnsi="Arial" w:cs="Arial"/>
          <w:b/>
          <w:color w:val="4472C4"/>
          <w:sz w:val="24"/>
          <w:szCs w:val="24"/>
        </w:rPr>
      </w:pPr>
    </w:p>
    <w:p w:rsidR="00150C53" w:rsidRPr="00C02820" w:rsidRDefault="00150C53" w:rsidP="00CF7894">
      <w:pPr>
        <w:spacing w:after="0"/>
        <w:jc w:val="center"/>
        <w:rPr>
          <w:rFonts w:ascii="Arial" w:hAnsi="Arial" w:cs="Arial"/>
          <w:b/>
          <w:color w:val="4472C4"/>
          <w:sz w:val="24"/>
          <w:szCs w:val="24"/>
        </w:rPr>
      </w:pPr>
      <w:r w:rsidRPr="00C02820">
        <w:rPr>
          <w:rFonts w:ascii="Arial" w:hAnsi="Arial" w:cs="Arial"/>
          <w:b/>
          <w:color w:val="4472C4"/>
          <w:sz w:val="24"/>
          <w:szCs w:val="24"/>
        </w:rPr>
        <w:t>Javier Pérez Limón</w:t>
      </w:r>
    </w:p>
    <w:p w:rsidR="007378F8" w:rsidRPr="00C02820" w:rsidRDefault="00150C53" w:rsidP="00CF7894">
      <w:pPr>
        <w:spacing w:after="0"/>
        <w:jc w:val="center"/>
        <w:rPr>
          <w:rFonts w:ascii="Arial" w:hAnsi="Arial" w:cs="Arial"/>
          <w:b/>
          <w:color w:val="4472C4"/>
          <w:sz w:val="24"/>
          <w:szCs w:val="24"/>
        </w:rPr>
      </w:pPr>
      <w:r w:rsidRPr="00C02820">
        <w:rPr>
          <w:rFonts w:ascii="Arial" w:hAnsi="Arial" w:cs="Arial"/>
          <w:b/>
          <w:color w:val="4472C4"/>
          <w:sz w:val="24"/>
          <w:szCs w:val="24"/>
        </w:rPr>
        <w:t>Notificador</w:t>
      </w:r>
      <w:bookmarkEnd w:id="1"/>
    </w:p>
    <w:sectPr w:rsidR="007378F8" w:rsidRPr="00C02820" w:rsidSect="00FF56CF">
      <w:headerReference w:type="default" r:id="rId8"/>
      <w:footerReference w:type="default" r:id="rId9"/>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59E9" w:rsidRDefault="00B459E9" w:rsidP="00A04BCB">
      <w:pPr>
        <w:spacing w:after="0" w:line="240" w:lineRule="auto"/>
      </w:pPr>
      <w:r>
        <w:separator/>
      </w:r>
    </w:p>
  </w:endnote>
  <w:endnote w:type="continuationSeparator" w:id="0">
    <w:p w:rsidR="00B459E9" w:rsidRDefault="00B459E9"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1265" w:rsidRDefault="00791265">
    <w:pPr>
      <w:pStyle w:val="Piedepgina"/>
    </w:pPr>
  </w:p>
  <w:p w:rsidR="00A45785" w:rsidRDefault="00A4578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59E9" w:rsidRDefault="00B459E9" w:rsidP="00A04BCB">
      <w:pPr>
        <w:spacing w:after="0" w:line="240" w:lineRule="auto"/>
      </w:pPr>
      <w:r>
        <w:separator/>
      </w:r>
    </w:p>
  </w:footnote>
  <w:footnote w:type="continuationSeparator" w:id="0">
    <w:p w:rsidR="00B459E9" w:rsidRDefault="00B459E9"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BCB" w:rsidRDefault="00624ED9" w:rsidP="005D7E54">
    <w:pPr>
      <w:pStyle w:val="Encabezado"/>
      <w:jc w:val="right"/>
    </w:pPr>
    <w:r>
      <w:rPr>
        <w:rFonts w:ascii="Arial" w:hAnsi="Arial" w:cs="Arial"/>
        <w:b/>
      </w:rPr>
      <w:t>RR-</w:t>
    </w:r>
    <w:r w:rsidR="00AC408C">
      <w:rPr>
        <w:rFonts w:ascii="Arial" w:hAnsi="Arial" w:cs="Arial"/>
        <w:b/>
      </w:rPr>
      <w:t>112</w:t>
    </w:r>
    <w:r w:rsidR="002414D8">
      <w:rPr>
        <w:rFonts w:ascii="Arial" w:hAnsi="Arial" w:cs="Arial"/>
        <w:b/>
      </w:rPr>
      <w:t>/201</w:t>
    </w:r>
    <w:r w:rsidR="00AC408C">
      <w:rPr>
        <w:rFonts w:ascii="Arial" w:hAnsi="Arial" w:cs="Arial"/>
        <w:b/>
      </w:rPr>
      <w:t>8</w:t>
    </w:r>
    <w:r w:rsidR="002526F3">
      <w:rPr>
        <w:rFonts w:ascii="Arial" w:hAnsi="Arial" w:cs="Arial"/>
        <w:b/>
      </w:rPr>
      <w:t>-</w:t>
    </w:r>
    <w:r w:rsidR="001F7935">
      <w:rPr>
        <w:rFonts w:ascii="Arial" w:hAnsi="Arial" w:cs="Arial"/>
        <w:b/>
      </w:rPr>
      <w:t>1</w:t>
    </w:r>
    <w:r w:rsidR="00FC2F02">
      <w:rPr>
        <w:rFonts w:ascii="Arial" w:hAnsi="Arial" w:cs="Arial"/>
        <w:b/>
      </w:rPr>
      <w:t xml:space="preserve"> </w:t>
    </w:r>
    <w:r w:rsidR="00AC408C">
      <w:rPr>
        <w:rFonts w:ascii="Arial" w:hAnsi="Arial" w:cs="Arial"/>
        <w:b/>
      </w:rPr>
      <w:t>PL</w:t>
    </w:r>
    <w:r w:rsidR="007D06C5">
      <w:rPr>
        <w:rFonts w:ascii="Arial" w:hAnsi="Arial" w:cs="Arial"/>
        <w:b/>
      </w:rPr>
      <w:t>A</w:t>
    </w:r>
    <w:r w:rsidR="00AC408C">
      <w:rPr>
        <w:rFonts w:ascii="Arial" w:hAnsi="Arial" w:cs="Arial"/>
        <w:b/>
      </w:rPr>
      <w:t>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1242F"/>
    <w:multiLevelType w:val="hybridMultilevel"/>
    <w:tmpl w:val="A4365034"/>
    <w:lvl w:ilvl="0" w:tplc="3642D4BE">
      <w:start w:val="3"/>
      <w:numFmt w:val="upperRoman"/>
      <w:lvlText w:val="%1."/>
      <w:lvlJc w:val="left"/>
      <w:pPr>
        <w:ind w:left="690"/>
      </w:pPr>
      <w:rPr>
        <w:rFonts w:ascii="Arial" w:eastAsia="Arial" w:hAnsi="Arial" w:cs="Arial"/>
        <w:b/>
        <w:bCs/>
        <w:i w:val="0"/>
        <w:strike w:val="0"/>
        <w:dstrike w:val="0"/>
        <w:color w:val="4BACC6" w:themeColor="accent5"/>
        <w:sz w:val="18"/>
        <w:szCs w:val="18"/>
        <w:u w:val="none" w:color="000000"/>
        <w:bdr w:val="none" w:sz="0" w:space="0" w:color="auto"/>
        <w:shd w:val="clear" w:color="auto" w:fill="auto"/>
        <w:vertAlign w:val="baseline"/>
      </w:rPr>
    </w:lvl>
    <w:lvl w:ilvl="1" w:tplc="4608FF74">
      <w:start w:val="1"/>
      <w:numFmt w:val="lowerLetter"/>
      <w:lvlText w:val="%2"/>
      <w:lvlJc w:val="left"/>
      <w:pPr>
        <w:ind w:left="17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9958492E">
      <w:start w:val="1"/>
      <w:numFmt w:val="lowerRoman"/>
      <w:lvlText w:val="%3"/>
      <w:lvlJc w:val="left"/>
      <w:pPr>
        <w:ind w:left="24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E2600876">
      <w:start w:val="1"/>
      <w:numFmt w:val="decimal"/>
      <w:lvlText w:val="%4"/>
      <w:lvlJc w:val="left"/>
      <w:pPr>
        <w:ind w:left="32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E6A4C684">
      <w:start w:val="1"/>
      <w:numFmt w:val="lowerLetter"/>
      <w:lvlText w:val="%5"/>
      <w:lvlJc w:val="left"/>
      <w:pPr>
        <w:ind w:left="39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4BDCC440">
      <w:start w:val="1"/>
      <w:numFmt w:val="lowerRoman"/>
      <w:lvlText w:val="%6"/>
      <w:lvlJc w:val="left"/>
      <w:pPr>
        <w:ind w:left="46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62C806C6">
      <w:start w:val="1"/>
      <w:numFmt w:val="decimal"/>
      <w:lvlText w:val="%7"/>
      <w:lvlJc w:val="left"/>
      <w:pPr>
        <w:ind w:left="53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3C8AD954">
      <w:start w:val="1"/>
      <w:numFmt w:val="lowerLetter"/>
      <w:lvlText w:val="%8"/>
      <w:lvlJc w:val="left"/>
      <w:pPr>
        <w:ind w:left="6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23804826">
      <w:start w:val="1"/>
      <w:numFmt w:val="lowerRoman"/>
      <w:lvlText w:val="%9"/>
      <w:lvlJc w:val="left"/>
      <w:pPr>
        <w:ind w:left="6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06C43D98"/>
    <w:multiLevelType w:val="hybridMultilevel"/>
    <w:tmpl w:val="87DEF50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3"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7"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10"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1"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2" w15:restartNumberingAfterBreak="0">
    <w:nsid w:val="4B3A31B6"/>
    <w:multiLevelType w:val="hybridMultilevel"/>
    <w:tmpl w:val="CE6EC8C2"/>
    <w:lvl w:ilvl="0" w:tplc="78A4B4E6">
      <w:start w:val="1"/>
      <w:numFmt w:val="upperRoman"/>
      <w:lvlText w:val="%1."/>
      <w:lvlJc w:val="left"/>
      <w:pPr>
        <w:ind w:left="340"/>
      </w:pPr>
      <w:rPr>
        <w:rFonts w:ascii="Arial" w:eastAsia="Arial" w:hAnsi="Arial" w:cs="Arial"/>
        <w:b/>
        <w:bCs/>
        <w:i w:val="0"/>
        <w:strike w:val="0"/>
        <w:dstrike w:val="0"/>
        <w:color w:val="4BACC6" w:themeColor="accent5"/>
        <w:sz w:val="18"/>
        <w:szCs w:val="18"/>
        <w:u w:val="none" w:color="000000"/>
        <w:bdr w:val="none" w:sz="0" w:space="0" w:color="auto"/>
        <w:shd w:val="clear" w:color="auto" w:fill="auto"/>
        <w:vertAlign w:val="baseline"/>
      </w:rPr>
    </w:lvl>
    <w:lvl w:ilvl="1" w:tplc="557E19C8">
      <w:start w:val="1"/>
      <w:numFmt w:val="lowerLetter"/>
      <w:lvlText w:val="%2"/>
      <w:lvlJc w:val="left"/>
      <w:pPr>
        <w:ind w:left="14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849AB206">
      <w:start w:val="1"/>
      <w:numFmt w:val="lowerRoman"/>
      <w:lvlText w:val="%3"/>
      <w:lvlJc w:val="left"/>
      <w:pPr>
        <w:ind w:left="213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1C08AABE">
      <w:start w:val="1"/>
      <w:numFmt w:val="decimal"/>
      <w:lvlText w:val="%4"/>
      <w:lvlJc w:val="left"/>
      <w:pPr>
        <w:ind w:left="285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CF0A5E32">
      <w:start w:val="1"/>
      <w:numFmt w:val="lowerLetter"/>
      <w:lvlText w:val="%5"/>
      <w:lvlJc w:val="left"/>
      <w:pPr>
        <w:ind w:left="357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32EE464C">
      <w:start w:val="1"/>
      <w:numFmt w:val="lowerRoman"/>
      <w:lvlText w:val="%6"/>
      <w:lvlJc w:val="left"/>
      <w:pPr>
        <w:ind w:left="429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5A0AB854">
      <w:start w:val="1"/>
      <w:numFmt w:val="decimal"/>
      <w:lvlText w:val="%7"/>
      <w:lvlJc w:val="left"/>
      <w:pPr>
        <w:ind w:left="50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FBC67392">
      <w:start w:val="1"/>
      <w:numFmt w:val="lowerLetter"/>
      <w:lvlText w:val="%8"/>
      <w:lvlJc w:val="left"/>
      <w:pPr>
        <w:ind w:left="573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1CD80B44">
      <w:start w:val="1"/>
      <w:numFmt w:val="lowerRoman"/>
      <w:lvlText w:val="%9"/>
      <w:lvlJc w:val="left"/>
      <w:pPr>
        <w:ind w:left="645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13"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5"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6" w15:restartNumberingAfterBreak="0">
    <w:nsid w:val="606E1E4E"/>
    <w:multiLevelType w:val="hybridMultilevel"/>
    <w:tmpl w:val="BBE4ABB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7"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5"/>
  </w:num>
  <w:num w:numId="2">
    <w:abstractNumId w:val="4"/>
  </w:num>
  <w:num w:numId="3">
    <w:abstractNumId w:val="7"/>
  </w:num>
  <w:num w:numId="4">
    <w:abstractNumId w:val="17"/>
  </w:num>
  <w:num w:numId="5">
    <w:abstractNumId w:val="13"/>
  </w:num>
  <w:num w:numId="6">
    <w:abstractNumId w:val="10"/>
  </w:num>
  <w:num w:numId="7">
    <w:abstractNumId w:val="3"/>
  </w:num>
  <w:num w:numId="8">
    <w:abstractNumId w:val="15"/>
  </w:num>
  <w:num w:numId="9">
    <w:abstractNumId w:val="6"/>
  </w:num>
  <w:num w:numId="10">
    <w:abstractNumId w:val="2"/>
  </w:num>
  <w:num w:numId="11">
    <w:abstractNumId w:val="9"/>
  </w:num>
  <w:num w:numId="12">
    <w:abstractNumId w:val="14"/>
  </w:num>
  <w:num w:numId="13">
    <w:abstractNumId w:val="11"/>
  </w:num>
  <w:num w:numId="14">
    <w:abstractNumId w:val="8"/>
  </w:num>
  <w:num w:numId="15">
    <w:abstractNumId w:val="1"/>
  </w:num>
  <w:num w:numId="16">
    <w:abstractNumId w:val="16"/>
  </w:num>
  <w:num w:numId="17">
    <w:abstractNumId w:val="12"/>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02E28"/>
    <w:rsid w:val="00011E94"/>
    <w:rsid w:val="00022AD6"/>
    <w:rsid w:val="0003028A"/>
    <w:rsid w:val="00054206"/>
    <w:rsid w:val="000718D6"/>
    <w:rsid w:val="00080247"/>
    <w:rsid w:val="00090FF9"/>
    <w:rsid w:val="000A4472"/>
    <w:rsid w:val="000A4C73"/>
    <w:rsid w:val="000A4F5D"/>
    <w:rsid w:val="000B62C2"/>
    <w:rsid w:val="000B7F7D"/>
    <w:rsid w:val="000C40C1"/>
    <w:rsid w:val="000D6BBE"/>
    <w:rsid w:val="000D71A1"/>
    <w:rsid w:val="000E7945"/>
    <w:rsid w:val="000F05B6"/>
    <w:rsid w:val="000F3254"/>
    <w:rsid w:val="000F3F6E"/>
    <w:rsid w:val="00107646"/>
    <w:rsid w:val="00107F8A"/>
    <w:rsid w:val="00131EBD"/>
    <w:rsid w:val="00141665"/>
    <w:rsid w:val="00150C53"/>
    <w:rsid w:val="00156C9D"/>
    <w:rsid w:val="00157759"/>
    <w:rsid w:val="00162EC6"/>
    <w:rsid w:val="00184E79"/>
    <w:rsid w:val="001927CA"/>
    <w:rsid w:val="00196123"/>
    <w:rsid w:val="001A14C5"/>
    <w:rsid w:val="001A3205"/>
    <w:rsid w:val="001B2AEF"/>
    <w:rsid w:val="001C0739"/>
    <w:rsid w:val="001C3373"/>
    <w:rsid w:val="001C5951"/>
    <w:rsid w:val="001C77AA"/>
    <w:rsid w:val="001D0198"/>
    <w:rsid w:val="001D03CA"/>
    <w:rsid w:val="001D0AE1"/>
    <w:rsid w:val="001D0CD3"/>
    <w:rsid w:val="001D16C6"/>
    <w:rsid w:val="001E317B"/>
    <w:rsid w:val="001E6128"/>
    <w:rsid w:val="001F0337"/>
    <w:rsid w:val="001F1B92"/>
    <w:rsid w:val="001F7935"/>
    <w:rsid w:val="00214DBA"/>
    <w:rsid w:val="00226860"/>
    <w:rsid w:val="00232F24"/>
    <w:rsid w:val="00234400"/>
    <w:rsid w:val="002414D8"/>
    <w:rsid w:val="0024310C"/>
    <w:rsid w:val="002477AF"/>
    <w:rsid w:val="002526F3"/>
    <w:rsid w:val="00260481"/>
    <w:rsid w:val="00264CBC"/>
    <w:rsid w:val="00266ADC"/>
    <w:rsid w:val="002778EA"/>
    <w:rsid w:val="00286EF5"/>
    <w:rsid w:val="002A288D"/>
    <w:rsid w:val="002A6A30"/>
    <w:rsid w:val="002B40C2"/>
    <w:rsid w:val="002C38D0"/>
    <w:rsid w:val="002C5252"/>
    <w:rsid w:val="002D0070"/>
    <w:rsid w:val="002D371A"/>
    <w:rsid w:val="002E4736"/>
    <w:rsid w:val="002F176F"/>
    <w:rsid w:val="002F30EF"/>
    <w:rsid w:val="002F733F"/>
    <w:rsid w:val="003032F5"/>
    <w:rsid w:val="00310587"/>
    <w:rsid w:val="00322003"/>
    <w:rsid w:val="00331B9E"/>
    <w:rsid w:val="003332F1"/>
    <w:rsid w:val="00352A7B"/>
    <w:rsid w:val="00360ABE"/>
    <w:rsid w:val="0037061E"/>
    <w:rsid w:val="00372881"/>
    <w:rsid w:val="0038176B"/>
    <w:rsid w:val="00381A32"/>
    <w:rsid w:val="00383735"/>
    <w:rsid w:val="0038592D"/>
    <w:rsid w:val="003A0A70"/>
    <w:rsid w:val="003C636D"/>
    <w:rsid w:val="003E3238"/>
    <w:rsid w:val="003F247A"/>
    <w:rsid w:val="00402BE9"/>
    <w:rsid w:val="00404705"/>
    <w:rsid w:val="0041021C"/>
    <w:rsid w:val="00417720"/>
    <w:rsid w:val="00426890"/>
    <w:rsid w:val="004302FC"/>
    <w:rsid w:val="0044226A"/>
    <w:rsid w:val="004528ED"/>
    <w:rsid w:val="00453A8D"/>
    <w:rsid w:val="004659BD"/>
    <w:rsid w:val="004676F8"/>
    <w:rsid w:val="00467AA8"/>
    <w:rsid w:val="00472502"/>
    <w:rsid w:val="0047371E"/>
    <w:rsid w:val="004739C4"/>
    <w:rsid w:val="00485806"/>
    <w:rsid w:val="00490BC0"/>
    <w:rsid w:val="00491923"/>
    <w:rsid w:val="004935E2"/>
    <w:rsid w:val="00493BBB"/>
    <w:rsid w:val="0049533B"/>
    <w:rsid w:val="004C415C"/>
    <w:rsid w:val="004D0F1C"/>
    <w:rsid w:val="004D511E"/>
    <w:rsid w:val="004E386C"/>
    <w:rsid w:val="004F08DC"/>
    <w:rsid w:val="004F5CDC"/>
    <w:rsid w:val="00500854"/>
    <w:rsid w:val="00515C6F"/>
    <w:rsid w:val="00535AA8"/>
    <w:rsid w:val="0054206B"/>
    <w:rsid w:val="00552902"/>
    <w:rsid w:val="0055402B"/>
    <w:rsid w:val="00555BEA"/>
    <w:rsid w:val="00557692"/>
    <w:rsid w:val="00570D95"/>
    <w:rsid w:val="00580B07"/>
    <w:rsid w:val="005A2395"/>
    <w:rsid w:val="005A774A"/>
    <w:rsid w:val="005D2986"/>
    <w:rsid w:val="005D32BF"/>
    <w:rsid w:val="005D7E54"/>
    <w:rsid w:val="005E15B2"/>
    <w:rsid w:val="005E7069"/>
    <w:rsid w:val="00605A77"/>
    <w:rsid w:val="00606D6E"/>
    <w:rsid w:val="00615017"/>
    <w:rsid w:val="00616C0D"/>
    <w:rsid w:val="00624699"/>
    <w:rsid w:val="00624ED9"/>
    <w:rsid w:val="00625D1B"/>
    <w:rsid w:val="006569DD"/>
    <w:rsid w:val="00661411"/>
    <w:rsid w:val="006653FC"/>
    <w:rsid w:val="00672BEE"/>
    <w:rsid w:val="00690DE0"/>
    <w:rsid w:val="00695310"/>
    <w:rsid w:val="006A4610"/>
    <w:rsid w:val="006B6741"/>
    <w:rsid w:val="006C78BB"/>
    <w:rsid w:val="006D050F"/>
    <w:rsid w:val="006D3BF1"/>
    <w:rsid w:val="006D4FCA"/>
    <w:rsid w:val="006E2236"/>
    <w:rsid w:val="006E478E"/>
    <w:rsid w:val="006F222A"/>
    <w:rsid w:val="006F5A3A"/>
    <w:rsid w:val="00702152"/>
    <w:rsid w:val="007121D0"/>
    <w:rsid w:val="00721663"/>
    <w:rsid w:val="00727BEA"/>
    <w:rsid w:val="007378F8"/>
    <w:rsid w:val="00744113"/>
    <w:rsid w:val="007558D7"/>
    <w:rsid w:val="00763E45"/>
    <w:rsid w:val="00771755"/>
    <w:rsid w:val="00772104"/>
    <w:rsid w:val="00774BC8"/>
    <w:rsid w:val="00780A83"/>
    <w:rsid w:val="00791265"/>
    <w:rsid w:val="007A68AD"/>
    <w:rsid w:val="007A7319"/>
    <w:rsid w:val="007A777C"/>
    <w:rsid w:val="007B1813"/>
    <w:rsid w:val="007B30A9"/>
    <w:rsid w:val="007B520C"/>
    <w:rsid w:val="007C2127"/>
    <w:rsid w:val="007C70EC"/>
    <w:rsid w:val="007D06C5"/>
    <w:rsid w:val="007E7A46"/>
    <w:rsid w:val="0080183C"/>
    <w:rsid w:val="008024C9"/>
    <w:rsid w:val="00803BF0"/>
    <w:rsid w:val="00810456"/>
    <w:rsid w:val="0082057A"/>
    <w:rsid w:val="00831F05"/>
    <w:rsid w:val="008334F5"/>
    <w:rsid w:val="00844F2B"/>
    <w:rsid w:val="00845E58"/>
    <w:rsid w:val="00852028"/>
    <w:rsid w:val="0085470E"/>
    <w:rsid w:val="00874C83"/>
    <w:rsid w:val="0088125B"/>
    <w:rsid w:val="008839E5"/>
    <w:rsid w:val="00897B0C"/>
    <w:rsid w:val="008A6B41"/>
    <w:rsid w:val="008B15BA"/>
    <w:rsid w:val="008B5588"/>
    <w:rsid w:val="008C22E2"/>
    <w:rsid w:val="008C6657"/>
    <w:rsid w:val="008D0A3C"/>
    <w:rsid w:val="008F08E3"/>
    <w:rsid w:val="008F388A"/>
    <w:rsid w:val="008F6149"/>
    <w:rsid w:val="009039C8"/>
    <w:rsid w:val="00906B75"/>
    <w:rsid w:val="009124C4"/>
    <w:rsid w:val="0092572B"/>
    <w:rsid w:val="00943FA9"/>
    <w:rsid w:val="0094536F"/>
    <w:rsid w:val="00977225"/>
    <w:rsid w:val="00977800"/>
    <w:rsid w:val="0098511D"/>
    <w:rsid w:val="00986AAE"/>
    <w:rsid w:val="00991E8F"/>
    <w:rsid w:val="009B23C6"/>
    <w:rsid w:val="009B7254"/>
    <w:rsid w:val="009C034C"/>
    <w:rsid w:val="009C2B81"/>
    <w:rsid w:val="009C4466"/>
    <w:rsid w:val="009D0019"/>
    <w:rsid w:val="009D2BB8"/>
    <w:rsid w:val="009D3602"/>
    <w:rsid w:val="009D7E22"/>
    <w:rsid w:val="009E456E"/>
    <w:rsid w:val="009F00AF"/>
    <w:rsid w:val="00A02BA9"/>
    <w:rsid w:val="00A03CE0"/>
    <w:rsid w:val="00A04BCB"/>
    <w:rsid w:val="00A050F1"/>
    <w:rsid w:val="00A06A4A"/>
    <w:rsid w:val="00A230F7"/>
    <w:rsid w:val="00A24594"/>
    <w:rsid w:val="00A24906"/>
    <w:rsid w:val="00A45785"/>
    <w:rsid w:val="00A61517"/>
    <w:rsid w:val="00A62F8D"/>
    <w:rsid w:val="00A630A6"/>
    <w:rsid w:val="00A7066C"/>
    <w:rsid w:val="00A75DA0"/>
    <w:rsid w:val="00A8436E"/>
    <w:rsid w:val="00A8474D"/>
    <w:rsid w:val="00A94565"/>
    <w:rsid w:val="00AA5027"/>
    <w:rsid w:val="00AB0C8A"/>
    <w:rsid w:val="00AC1F24"/>
    <w:rsid w:val="00AC335A"/>
    <w:rsid w:val="00AC408C"/>
    <w:rsid w:val="00AD691E"/>
    <w:rsid w:val="00AE702D"/>
    <w:rsid w:val="00B01F57"/>
    <w:rsid w:val="00B06769"/>
    <w:rsid w:val="00B0797C"/>
    <w:rsid w:val="00B10F22"/>
    <w:rsid w:val="00B11A7E"/>
    <w:rsid w:val="00B14364"/>
    <w:rsid w:val="00B23C59"/>
    <w:rsid w:val="00B4486D"/>
    <w:rsid w:val="00B4587C"/>
    <w:rsid w:val="00B459E9"/>
    <w:rsid w:val="00B54825"/>
    <w:rsid w:val="00B55F7C"/>
    <w:rsid w:val="00B63E0B"/>
    <w:rsid w:val="00B71D1E"/>
    <w:rsid w:val="00B7246B"/>
    <w:rsid w:val="00B73016"/>
    <w:rsid w:val="00B76884"/>
    <w:rsid w:val="00B8457C"/>
    <w:rsid w:val="00B84B92"/>
    <w:rsid w:val="00B941DB"/>
    <w:rsid w:val="00B977AB"/>
    <w:rsid w:val="00B97928"/>
    <w:rsid w:val="00BA2344"/>
    <w:rsid w:val="00BA55C4"/>
    <w:rsid w:val="00BB031B"/>
    <w:rsid w:val="00BD19F4"/>
    <w:rsid w:val="00BE6AF8"/>
    <w:rsid w:val="00BF633B"/>
    <w:rsid w:val="00C0019F"/>
    <w:rsid w:val="00C0023E"/>
    <w:rsid w:val="00C003C0"/>
    <w:rsid w:val="00C02820"/>
    <w:rsid w:val="00C1156A"/>
    <w:rsid w:val="00C16EC4"/>
    <w:rsid w:val="00C23535"/>
    <w:rsid w:val="00C257BC"/>
    <w:rsid w:val="00C37176"/>
    <w:rsid w:val="00C42933"/>
    <w:rsid w:val="00C66E3D"/>
    <w:rsid w:val="00C70A3F"/>
    <w:rsid w:val="00C73D19"/>
    <w:rsid w:val="00C7664A"/>
    <w:rsid w:val="00C95821"/>
    <w:rsid w:val="00C96DC3"/>
    <w:rsid w:val="00CA0440"/>
    <w:rsid w:val="00CA29CD"/>
    <w:rsid w:val="00CA5BA0"/>
    <w:rsid w:val="00CC1231"/>
    <w:rsid w:val="00CC57CD"/>
    <w:rsid w:val="00CC65CD"/>
    <w:rsid w:val="00CD2AF9"/>
    <w:rsid w:val="00CE6391"/>
    <w:rsid w:val="00CF7894"/>
    <w:rsid w:val="00D05A2B"/>
    <w:rsid w:val="00D11CA5"/>
    <w:rsid w:val="00D13645"/>
    <w:rsid w:val="00D21862"/>
    <w:rsid w:val="00D33E7E"/>
    <w:rsid w:val="00D46DBB"/>
    <w:rsid w:val="00D550D5"/>
    <w:rsid w:val="00D71D05"/>
    <w:rsid w:val="00D7336A"/>
    <w:rsid w:val="00DA09AD"/>
    <w:rsid w:val="00DB05F1"/>
    <w:rsid w:val="00DB5F2A"/>
    <w:rsid w:val="00DB65D6"/>
    <w:rsid w:val="00DC105A"/>
    <w:rsid w:val="00DC55EF"/>
    <w:rsid w:val="00DD1315"/>
    <w:rsid w:val="00DE25E6"/>
    <w:rsid w:val="00DE5A5C"/>
    <w:rsid w:val="00DE6AB5"/>
    <w:rsid w:val="00DF5E66"/>
    <w:rsid w:val="00DF74E7"/>
    <w:rsid w:val="00E0126B"/>
    <w:rsid w:val="00E07D48"/>
    <w:rsid w:val="00E12808"/>
    <w:rsid w:val="00E135D9"/>
    <w:rsid w:val="00E15E88"/>
    <w:rsid w:val="00E32AE9"/>
    <w:rsid w:val="00E43715"/>
    <w:rsid w:val="00E4433C"/>
    <w:rsid w:val="00E44B4D"/>
    <w:rsid w:val="00E4590E"/>
    <w:rsid w:val="00E51C51"/>
    <w:rsid w:val="00E66DB6"/>
    <w:rsid w:val="00E828C8"/>
    <w:rsid w:val="00E94C22"/>
    <w:rsid w:val="00E95910"/>
    <w:rsid w:val="00EA3D66"/>
    <w:rsid w:val="00EB06E0"/>
    <w:rsid w:val="00EC4BDD"/>
    <w:rsid w:val="00ED0CD6"/>
    <w:rsid w:val="00ED7190"/>
    <w:rsid w:val="00EE1009"/>
    <w:rsid w:val="00EE4D47"/>
    <w:rsid w:val="00F0766A"/>
    <w:rsid w:val="00F14988"/>
    <w:rsid w:val="00F2256E"/>
    <w:rsid w:val="00F30115"/>
    <w:rsid w:val="00F31196"/>
    <w:rsid w:val="00F3148D"/>
    <w:rsid w:val="00F35188"/>
    <w:rsid w:val="00F573CF"/>
    <w:rsid w:val="00F64485"/>
    <w:rsid w:val="00F74948"/>
    <w:rsid w:val="00F750F7"/>
    <w:rsid w:val="00F85FDA"/>
    <w:rsid w:val="00F96385"/>
    <w:rsid w:val="00F96D81"/>
    <w:rsid w:val="00FA0290"/>
    <w:rsid w:val="00FC2F02"/>
    <w:rsid w:val="00FC417C"/>
    <w:rsid w:val="00FE0483"/>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3AA18"/>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
    <w:basedOn w:val="Normal"/>
    <w:link w:val="PrrafodelistaCar"/>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styleId="Mencinsinresolver">
    <w:name w:val="Unresolved Mention"/>
    <w:basedOn w:val="Fuentedeprrafopredeter"/>
    <w:uiPriority w:val="99"/>
    <w:semiHidden/>
    <w:unhideWhenUsed/>
    <w:rsid w:val="00943FA9"/>
    <w:rPr>
      <w:color w:val="808080"/>
      <w:shd w:val="clear" w:color="auto" w:fill="E6E6E6"/>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basedOn w:val="Fuentedeprrafopredeter"/>
    <w:link w:val="Prrafodelista"/>
    <w:uiPriority w:val="34"/>
    <w:qFormat/>
    <w:locked/>
    <w:rsid w:val="008839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 w:id="1700008645">
      <w:bodyDiv w:val="1"/>
      <w:marLeft w:val="0"/>
      <w:marRight w:val="0"/>
      <w:marTop w:val="0"/>
      <w:marBottom w:val="0"/>
      <w:divBdr>
        <w:top w:val="none" w:sz="0" w:space="0" w:color="auto"/>
        <w:left w:val="none" w:sz="0" w:space="0" w:color="auto"/>
        <w:bottom w:val="none" w:sz="0" w:space="0" w:color="auto"/>
        <w:right w:val="none" w:sz="0" w:space="0" w:color="auto"/>
      </w:divBdr>
    </w:div>
    <w:div w:id="1971662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AD1BD-0DE9-4D3F-81FA-94D3FD866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1115</Words>
  <Characters>6135</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3</cp:revision>
  <cp:lastPrinted>2018-07-19T16:04:00Z</cp:lastPrinted>
  <dcterms:created xsi:type="dcterms:W3CDTF">2018-07-17T16:33:00Z</dcterms:created>
  <dcterms:modified xsi:type="dcterms:W3CDTF">2018-07-19T16:05:00Z</dcterms:modified>
</cp:coreProperties>
</file>